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259" w:lineRule="auto"/>
        <w:jc w:val="left"/>
      </w:pPr>
      <w:r>
        <w:rPr>
          <w:rFonts w:ascii="Arial" w:hAnsi="Arial" w:cs="Arial" w:eastAsia="Arial"/>
          <w:b/>
          <w:i w:val="0"/>
          <w:color w:val="000000"/>
          <w:sz w:val="24"/>
          <w:u w:val="none"/>
        </w:rPr>
        <w:t>Framework Layers</w:t>
      </w:r>
    </w:p>
    <w:p>
      <w:pPr>
        <w:spacing w:after="120" w:before="0" w:line="259" w:lineRule="auto"/>
      </w:pPr>
      <w:r>
        <w:rPr>
          <w:rFonts w:ascii="Arial" w:hAnsi="Arial" w:cs="Arial" w:eastAsia="Arial"/>
          <w:b w:val="0"/>
          <w:i w:val="0"/>
          <w:color w:val="000000"/>
          <w:sz w:val="24"/>
          <w:u w:val="none"/>
        </w:rPr>
        <w:t>GitHub repo: https://github.com/D4RKOPS/framework.git</w:t>
      </w:r>
    </w:p>
    <w:p>
      <w:pPr>
        <w:spacing w:after="120" w:before="0" w:line="259" w:lineRule="auto"/>
      </w:pPr>
      <w:r>
        <w:rPr>
          <w:rFonts w:ascii="Arial" w:hAnsi="Arial" w:cs="Arial" w:eastAsia="Arial"/>
          <w:b w:val="0"/>
          <w:i w:val="0"/>
          <w:color w:val="000000"/>
          <w:sz w:val="24"/>
          <w:u w:val="none"/>
        </w:rPr>
        <w:t>This document describes the layered architecture of the API testing framework, the rationale for each layer, and how the layers interact. A .docx version of this document must be generated from this markdown for the homework submission (e.g. with Pandoc: pandoc docs/framework-layers.md -o docs/framework-layers.docx).</w:t>
      </w:r>
    </w:p>
    <w:p>
      <w:pPr>
        <w:spacing w:after="120" w:before="160" w:line="259" w:lineRule="auto"/>
        <w:jc w:val="left"/>
      </w:pPr>
      <w:r>
        <w:rPr>
          <w:rFonts w:ascii="Arial" w:hAnsi="Arial" w:cs="Arial" w:eastAsia="Arial"/>
          <w:b/>
          <w:i w:val="0"/>
          <w:color w:val="000000"/>
          <w:sz w:val="24"/>
          <w:u w:val="none"/>
        </w:rPr>
        <w:t>Overview</w:t>
      </w:r>
    </w:p>
    <w:p>
      <w:pPr>
        <w:spacing w:after="120" w:before="0" w:line="259" w:lineRule="auto"/>
      </w:pPr>
      <w:r>
        <w:rPr>
          <w:rFonts w:ascii="Arial" w:hAnsi="Arial" w:cs="Arial" w:eastAsia="Arial"/>
          <w:b w:val="0"/>
          <w:i w:val="0"/>
          <w:color w:val="000000"/>
          <w:sz w:val="24"/>
          <w:u w:val="none"/>
        </w:rPr>
        <w:t>The framework follows a layered approach used in mature API automation projects. Each layer has a single responsibility and depends only on layers below it, which makes tests readable, maintainable, and resistant to change in the underlying API or HTTP library.</w:t>
      </w:r>
    </w:p>
    <w:p>
      <w:pPr>
        <w:spacing w:after="120" w:before="0" w:line="259" w:lineRule="auto"/>
      </w:pPr>
      <w:r>
        <w:rPr>
          <w:rFonts w:ascii="Arial" w:hAnsi="Arial" w:cs="Arial" w:eastAsia="Arial"/>
          <w:b w:val="0"/>
          <w:i w:val="0"/>
          <w:color w:val="000000"/>
          <w:sz w:val="24"/>
          <w:u w:val="none"/>
        </w:rPr>
        <w:t>Layers, top-down:</w:t>
      </w:r>
    </w:p>
    <w:p>
      <w:pPr>
        <w:pStyle w:val="ListNumber"/>
        <w:spacing w:after="60" w:before="0" w:line="259" w:lineRule="auto"/>
      </w:pPr>
      <w:r>
        <w:rPr>
          <w:rFonts w:ascii="Arial" w:hAnsi="Arial" w:cs="Arial" w:eastAsia="Arial"/>
          <w:b w:val="0"/>
          <w:i w:val="0"/>
          <w:color w:val="000000"/>
          <w:sz w:val="24"/>
          <w:u w:val="none"/>
        </w:rPr>
        <w:t>Test Layer — tests/**/*.spec.js — what we verify.</w:t>
      </w:r>
    </w:p>
    <w:p>
      <w:pPr>
        <w:pStyle w:val="ListNumber"/>
        <w:spacing w:after="60" w:before="0" w:line="259" w:lineRule="auto"/>
      </w:pPr>
      <w:r>
        <w:rPr>
          <w:rFonts w:ascii="Arial" w:hAnsi="Arial" w:cs="Arial" w:eastAsia="Arial"/>
          <w:b w:val="0"/>
          <w:i w:val="0"/>
          <w:color w:val="000000"/>
          <w:sz w:val="24"/>
          <w:u w:val="none"/>
        </w:rPr>
        <w:t>Service / Client Layer — src/clients/PostsClient.js, UsersClient.js — how we call the API.</w:t>
      </w:r>
    </w:p>
    <w:p>
      <w:pPr>
        <w:pStyle w:val="ListNumber"/>
        <w:spacing w:after="60" w:before="0" w:line="259" w:lineRule="auto"/>
      </w:pPr>
      <w:r>
        <w:rPr>
          <w:rFonts w:ascii="Arial" w:hAnsi="Arial" w:cs="Arial" w:eastAsia="Arial"/>
          <w:b w:val="0"/>
          <w:i w:val="0"/>
          <w:color w:val="000000"/>
          <w:sz w:val="24"/>
          <w:u w:val="none"/>
        </w:rPr>
        <w:t>Core / Base Layer — src/clients/BaseApiClient.js — transport and cross-cutting concerns.</w:t>
      </w:r>
    </w:p>
    <w:p>
      <w:pPr>
        <w:pStyle w:val="ListNumber"/>
        <w:spacing w:after="60" w:before="0" w:line="259" w:lineRule="auto"/>
      </w:pPr>
      <w:r>
        <w:rPr>
          <w:rFonts w:ascii="Arial" w:hAnsi="Arial" w:cs="Arial" w:eastAsia="Arial"/>
          <w:b w:val="0"/>
          <w:i w:val="0"/>
          <w:color w:val="000000"/>
          <w:sz w:val="24"/>
          <w:u w:val="none"/>
        </w:rPr>
        <w:t>Model / Data Layer — src/models/, src/data/ — what we send.</w:t>
      </w:r>
    </w:p>
    <w:p>
      <w:pPr>
        <w:pStyle w:val="ListNumber"/>
        <w:spacing w:after="60" w:before="0" w:line="259" w:lineRule="auto"/>
      </w:pPr>
      <w:r>
        <w:rPr>
          <w:rFonts w:ascii="Arial" w:hAnsi="Arial" w:cs="Arial" w:eastAsia="Arial"/>
          <w:b w:val="0"/>
          <w:i w:val="0"/>
          <w:color w:val="000000"/>
          <w:sz w:val="24"/>
          <w:u w:val="none"/>
        </w:rPr>
        <w:t>Config Layer — src/config/env.js, playwright.config.js — where and how we run.</w:t>
      </w:r>
    </w:p>
    <w:p>
      <w:pPr>
        <w:pStyle w:val="ListNumber"/>
        <w:spacing w:after="60" w:before="0" w:line="259" w:lineRule="auto"/>
      </w:pPr>
      <w:r>
        <w:rPr>
          <w:rFonts w:ascii="Arial" w:hAnsi="Arial" w:cs="Arial" w:eastAsia="Arial"/>
          <w:b w:val="0"/>
          <w:i w:val="0"/>
          <w:color w:val="000000"/>
          <w:sz w:val="24"/>
          <w:u w:val="none"/>
        </w:rPr>
        <w:t>Utils Layer — src/utils/logger.js, src/utils/schemaValidator.js — reusable helpers.</w:t>
      </w:r>
    </w:p>
    <w:p>
      <w:pPr>
        <w:pStyle w:val="ListNumber"/>
        <w:spacing w:after="60" w:before="0" w:line="259" w:lineRule="auto"/>
      </w:pPr>
      <w:r>
        <w:rPr>
          <w:rFonts w:ascii="Arial" w:hAnsi="Arial" w:cs="Arial" w:eastAsia="Arial"/>
          <w:b w:val="0"/>
          <w:i w:val="0"/>
          <w:color w:val="000000"/>
          <w:sz w:val="24"/>
          <w:u w:val="none"/>
        </w:rPr>
        <w:t>Reporting Layer — Playwright HTML report — results.</w:t>
      </w:r>
    </w:p>
    <w:p>
      <w:pPr>
        <w:spacing w:after="120" w:before="160" w:line="259" w:lineRule="auto"/>
        <w:jc w:val="left"/>
      </w:pPr>
      <w:r>
        <w:rPr>
          <w:rFonts w:ascii="Arial" w:hAnsi="Arial" w:cs="Arial" w:eastAsia="Arial"/>
          <w:b/>
          <w:i w:val="0"/>
          <w:color w:val="000000"/>
          <w:sz w:val="24"/>
          <w:u w:val="none"/>
        </w:rPr>
        <w:t>1. Test Layer (tests/)</w:t>
      </w:r>
    </w:p>
    <w:p>
      <w:pPr>
        <w:spacing w:after="120" w:before="0" w:line="259" w:lineRule="auto"/>
      </w:pPr>
      <w:r>
        <w:rPr>
          <w:rFonts w:ascii="Arial" w:hAnsi="Arial" w:cs="Arial" w:eastAsia="Arial"/>
          <w:b w:val="0"/>
          <w:i w:val="0"/>
          <w:color w:val="000000"/>
          <w:sz w:val="24"/>
          <w:u w:val="none"/>
        </w:rPr>
        <w:t>Specifications written with Playwright Test. They describe business intent, not HTTP mechanics. Each test:</w:t>
      </w:r>
    </w:p>
    <w:p>
      <w:pPr>
        <w:pStyle w:val="ListBullet"/>
        <w:spacing w:after="60" w:before="0" w:line="259" w:lineRule="auto"/>
      </w:pPr>
      <w:r>
        <w:rPr>
          <w:rFonts w:ascii="Arial" w:hAnsi="Arial" w:cs="Arial" w:eastAsia="Arial"/>
          <w:b w:val="0"/>
          <w:i w:val="0"/>
          <w:color w:val="000000"/>
          <w:sz w:val="24"/>
          <w:u w:val="none"/>
        </w:rPr>
        <w:t>Instantiates the resource client.</w:t>
      </w:r>
    </w:p>
    <w:p>
      <w:pPr>
        <w:pStyle w:val="ListBullet"/>
        <w:spacing w:after="60" w:before="0" w:line="259" w:lineRule="auto"/>
      </w:pPr>
      <w:r>
        <w:rPr>
          <w:rFonts w:ascii="Arial" w:hAnsi="Arial" w:cs="Arial" w:eastAsia="Arial"/>
          <w:b w:val="0"/>
          <w:i w:val="0"/>
          <w:color w:val="000000"/>
          <w:sz w:val="24"/>
          <w:u w:val="none"/>
        </w:rPr>
        <w:t>Builds a payload from the Model layer.</w:t>
      </w:r>
    </w:p>
    <w:p>
      <w:pPr>
        <w:pStyle w:val="ListBullet"/>
        <w:spacing w:after="60" w:before="0" w:line="259" w:lineRule="auto"/>
      </w:pPr>
      <w:r>
        <w:rPr>
          <w:rFonts w:ascii="Arial" w:hAnsi="Arial" w:cs="Arial" w:eastAsia="Arial"/>
          <w:b w:val="0"/>
          <w:i w:val="0"/>
          <w:color w:val="000000"/>
          <w:sz w:val="24"/>
          <w:u w:val="none"/>
        </w:rPr>
        <w:t>Calls the endpoint.</w:t>
      </w:r>
    </w:p>
    <w:p>
      <w:pPr>
        <w:pStyle w:val="ListBullet"/>
        <w:spacing w:after="60" w:before="0" w:line="259" w:lineRule="auto"/>
      </w:pPr>
      <w:r>
        <w:rPr>
          <w:rFonts w:ascii="Arial" w:hAnsi="Arial" w:cs="Arial" w:eastAsia="Arial"/>
          <w:b w:val="0"/>
          <w:i w:val="0"/>
          <w:color w:val="000000"/>
          <w:sz w:val="24"/>
          <w:u w:val="none"/>
        </w:rPr>
        <w:t>Asserts status, body, and JSON Schema.</w:t>
      </w:r>
    </w:p>
    <w:p>
      <w:pPr>
        <w:spacing w:after="120" w:before="0" w:line="259" w:lineRule="auto"/>
      </w:pPr>
      <w:r>
        <w:rPr>
          <w:rFonts w:ascii="Arial" w:hAnsi="Arial" w:cs="Arial" w:eastAsia="Arial"/>
          <w:b w:val="0"/>
          <w:i w:val="0"/>
          <w:color w:val="000000"/>
          <w:sz w:val="24"/>
          <w:u w:val="none"/>
        </w:rPr>
        <w:t>Why: tests stay short and readable; reviewers see the scenario, not request boilerplate.</w:t>
      </w:r>
    </w:p>
    <w:p>
      <w:pPr>
        <w:spacing w:after="120" w:before="160" w:line="259" w:lineRule="auto"/>
        <w:jc w:val="left"/>
      </w:pPr>
      <w:r>
        <w:rPr>
          <w:rFonts w:ascii="Arial" w:hAnsi="Arial" w:cs="Arial" w:eastAsia="Arial"/>
          <w:b/>
          <w:i w:val="0"/>
          <w:color w:val="000000"/>
          <w:sz w:val="24"/>
          <w:u w:val="none"/>
        </w:rPr>
        <w:t>2. Service / Client Layer (src/clients/)</w:t>
      </w:r>
    </w:p>
    <w:p>
      <w:pPr>
        <w:spacing w:after="120" w:before="0" w:line="259" w:lineRule="auto"/>
      </w:pPr>
      <w:r>
        <w:rPr>
          <w:rFonts w:ascii="Arial" w:hAnsi="Arial" w:cs="Arial" w:eastAsia="Arial"/>
          <w:b w:val="0"/>
          <w:i w:val="0"/>
          <w:color w:val="000000"/>
          <w:sz w:val="24"/>
          <w:u w:val="none"/>
        </w:rPr>
        <w:t>One class per API resource. Exposes domain methods (getById, create, update) instead of raw URLs.</w:t>
      </w:r>
    </w:p>
    <w:p>
      <w:pPr>
        <w:spacing w:after="120" w:before="0" w:line="259" w:lineRule="auto"/>
      </w:pPr>
      <w:r>
        <w:rPr>
          <w:rFonts w:ascii="Arial" w:hAnsi="Arial" w:cs="Arial" w:eastAsia="Arial"/>
          <w:b w:val="0"/>
          <w:i w:val="0"/>
          <w:color w:val="000000"/>
          <w:sz w:val="24"/>
          <w:u w:val="none"/>
        </w:rPr>
        <w:t>Why: centralizes endpoint paths; if the API changes, only one file is updated.</w:t>
      </w:r>
    </w:p>
    <w:p>
      <w:pPr>
        <w:spacing w:after="120" w:before="160" w:line="259" w:lineRule="auto"/>
        <w:jc w:val="left"/>
      </w:pPr>
      <w:r>
        <w:rPr>
          <w:rFonts w:ascii="Arial" w:hAnsi="Arial" w:cs="Arial" w:eastAsia="Arial"/>
          <w:b/>
          <w:i w:val="0"/>
          <w:color w:val="000000"/>
          <w:sz w:val="24"/>
          <w:u w:val="none"/>
        </w:rPr>
        <w:t>3. Core / Base Layer (src/clients/BaseApiClient.js)</w:t>
      </w:r>
    </w:p>
    <w:p>
      <w:pPr>
        <w:spacing w:after="120" w:before="0" w:line="259" w:lineRule="auto"/>
      </w:pPr>
      <w:r>
        <w:rPr>
          <w:rFonts w:ascii="Arial" w:hAnsi="Arial" w:cs="Arial" w:eastAsia="Arial"/>
          <w:b w:val="0"/>
          <w:i w:val="0"/>
          <w:color w:val="000000"/>
          <w:sz w:val="24"/>
          <w:u w:val="none"/>
        </w:rPr>
        <w:t>A thin wrapper over Playwright's APIRequestContext that provides get/post/put/delete. Hosts cross-cutting concerns: logging, default headers, and future retries or authentication.</w:t>
      </w:r>
    </w:p>
    <w:p>
      <w:pPr>
        <w:spacing w:after="120" w:before="0" w:line="259" w:lineRule="auto"/>
      </w:pPr>
      <w:r>
        <w:rPr>
          <w:rFonts w:ascii="Arial" w:hAnsi="Arial" w:cs="Arial" w:eastAsia="Arial"/>
          <w:b w:val="0"/>
          <w:i w:val="0"/>
          <w:color w:val="000000"/>
          <w:sz w:val="24"/>
          <w:u w:val="none"/>
        </w:rPr>
        <w:t>Why: resource clients stay tiny and cross-cutting policies live in one place.</w:t>
      </w:r>
    </w:p>
    <w:p>
      <w:pPr>
        <w:spacing w:after="120" w:before="160" w:line="259" w:lineRule="auto"/>
        <w:jc w:val="left"/>
      </w:pPr>
      <w:r>
        <w:rPr>
          <w:rFonts w:ascii="Arial" w:hAnsi="Arial" w:cs="Arial" w:eastAsia="Arial"/>
          <w:b/>
          <w:i w:val="0"/>
          <w:color w:val="000000"/>
          <w:sz w:val="24"/>
          <w:u w:val="none"/>
        </w:rPr>
        <w:t>4. Model / Data Layer (src/models/, src/data/)</w:t>
      </w:r>
    </w:p>
    <w:p>
      <w:pPr>
        <w:pStyle w:val="ListBullet"/>
        <w:spacing w:after="60" w:before="0" w:line="259" w:lineRule="auto"/>
      </w:pPr>
      <w:r>
        <w:rPr>
          <w:rFonts w:ascii="Arial" w:hAnsi="Arial" w:cs="Arial" w:eastAsia="Arial"/>
          <w:b w:val="0"/>
          <w:i w:val="0"/>
          <w:color w:val="000000"/>
          <w:sz w:val="24"/>
          <w:u w:val="none"/>
        </w:rPr>
        <w:t>Models are builders/factories for request payloads with sensible defaults and overrides, for example PostModel.valid({ title: '...' }).</w:t>
      </w:r>
    </w:p>
    <w:p>
      <w:pPr>
        <w:pStyle w:val="ListBullet"/>
        <w:spacing w:after="60" w:before="0" w:line="259" w:lineRule="auto"/>
      </w:pPr>
      <w:r>
        <w:rPr>
          <w:rFonts w:ascii="Arial" w:hAnsi="Arial" w:cs="Arial" w:eastAsia="Arial"/>
          <w:b w:val="0"/>
          <w:i w:val="0"/>
          <w:color w:val="000000"/>
          <w:sz w:val="24"/>
          <w:u w:val="none"/>
        </w:rPr>
        <w:t>Data holds constants and fixtures such as existing ids and expected counts.</w:t>
      </w:r>
    </w:p>
    <w:p>
      <w:pPr>
        <w:spacing w:after="120" w:before="0" w:line="259" w:lineRule="auto"/>
      </w:pPr>
      <w:r>
        <w:rPr>
          <w:rFonts w:ascii="Arial" w:hAnsi="Arial" w:cs="Arial" w:eastAsia="Arial"/>
          <w:b w:val="0"/>
          <w:i w:val="0"/>
          <w:color w:val="000000"/>
          <w:sz w:val="24"/>
          <w:u w:val="none"/>
        </w:rPr>
        <w:t>Why: eliminates duplicated literals across tests and makes data variations explicit.</w:t>
      </w:r>
    </w:p>
    <w:p>
      <w:pPr>
        <w:spacing w:after="120" w:before="160" w:line="259" w:lineRule="auto"/>
        <w:jc w:val="left"/>
      </w:pPr>
      <w:r>
        <w:rPr>
          <w:rFonts w:ascii="Arial" w:hAnsi="Arial" w:cs="Arial" w:eastAsia="Arial"/>
          <w:b/>
          <w:i w:val="0"/>
          <w:color w:val="000000"/>
          <w:sz w:val="24"/>
          <w:u w:val="none"/>
        </w:rPr>
        <w:t>5. Config Layer (src/config/env.js, playwright.config.js)</w:t>
      </w:r>
    </w:p>
    <w:p>
      <w:pPr>
        <w:spacing w:after="120" w:before="0" w:line="259" w:lineRule="auto"/>
      </w:pPr>
      <w:r>
        <w:rPr>
          <w:rFonts w:ascii="Arial" w:hAnsi="Arial" w:cs="Arial" w:eastAsia="Arial"/>
          <w:b w:val="0"/>
          <w:i w:val="0"/>
          <w:color w:val="000000"/>
          <w:sz w:val="24"/>
          <w:u w:val="none"/>
        </w:rPr>
        <w:t>Reads BASE_URL and timeouts from environment variables (.env), and configures Playwright (reporters, parallelism, default headers).</w:t>
      </w:r>
    </w:p>
    <w:p>
      <w:pPr>
        <w:spacing w:after="120" w:before="0" w:line="259" w:lineRule="auto"/>
      </w:pPr>
      <w:r>
        <w:rPr>
          <w:rFonts w:ascii="Arial" w:hAnsi="Arial" w:cs="Arial" w:eastAsia="Arial"/>
          <w:b w:val="0"/>
          <w:i w:val="0"/>
          <w:color w:val="000000"/>
          <w:sz w:val="24"/>
          <w:u w:val="none"/>
        </w:rPr>
        <w:t>Why: the same framework runs against local, staging, or production by swapping env vars.</w:t>
      </w:r>
    </w:p>
    <w:p>
      <w:pPr>
        <w:spacing w:after="120" w:before="160" w:line="259" w:lineRule="auto"/>
        <w:jc w:val="left"/>
      </w:pPr>
      <w:r>
        <w:rPr>
          <w:rFonts w:ascii="Arial" w:hAnsi="Arial" w:cs="Arial" w:eastAsia="Arial"/>
          <w:b/>
          <w:i w:val="0"/>
          <w:color w:val="000000"/>
          <w:sz w:val="24"/>
          <w:u w:val="none"/>
        </w:rPr>
        <w:t>6. Utils Layer (src/utils/)</w:t>
      </w:r>
    </w:p>
    <w:p>
      <w:pPr>
        <w:pStyle w:val="ListBullet"/>
        <w:spacing w:after="60" w:before="0" w:line="259" w:lineRule="auto"/>
      </w:pPr>
      <w:r>
        <w:rPr>
          <w:rFonts w:ascii="Arial" w:hAnsi="Arial" w:cs="Arial" w:eastAsia="Arial"/>
          <w:b w:val="0"/>
          <w:i w:val="0"/>
          <w:color w:val="000000"/>
          <w:sz w:val="24"/>
          <w:u w:val="none"/>
        </w:rPr>
        <w:t>logger.js: lightweight logger.</w:t>
      </w:r>
    </w:p>
    <w:p>
      <w:pPr>
        <w:pStyle w:val="ListBullet"/>
        <w:spacing w:after="60" w:before="0" w:line="259" w:lineRule="auto"/>
      </w:pPr>
      <w:r>
        <w:rPr>
          <w:rFonts w:ascii="Arial" w:hAnsi="Arial" w:cs="Arial" w:eastAsia="Arial"/>
          <w:b w:val="0"/>
          <w:i w:val="0"/>
          <w:color w:val="000000"/>
          <w:sz w:val="24"/>
          <w:u w:val="none"/>
        </w:rPr>
        <w:t>schemaValidator.js: wraps Ajv to validate responses against the JSON Schemas under tests/schemas/.</w:t>
      </w:r>
    </w:p>
    <w:p>
      <w:pPr>
        <w:spacing w:after="120" w:before="0" w:line="259" w:lineRule="auto"/>
      </w:pPr>
      <w:r>
        <w:rPr>
          <w:rFonts w:ascii="Arial" w:hAnsi="Arial" w:cs="Arial" w:eastAsia="Arial"/>
          <w:b w:val="0"/>
          <w:i w:val="0"/>
          <w:color w:val="000000"/>
          <w:sz w:val="24"/>
          <w:u w:val="none"/>
        </w:rPr>
        <w:t>Why: contract validation catches breaking API changes that field-by-field assertions miss.</w:t>
      </w:r>
    </w:p>
    <w:p>
      <w:pPr>
        <w:spacing w:after="120" w:before="160" w:line="259" w:lineRule="auto"/>
        <w:jc w:val="left"/>
      </w:pPr>
      <w:r>
        <w:rPr>
          <w:rFonts w:ascii="Arial" w:hAnsi="Arial" w:cs="Arial" w:eastAsia="Arial"/>
          <w:b/>
          <w:i w:val="0"/>
          <w:color w:val="000000"/>
          <w:sz w:val="24"/>
          <w:u w:val="none"/>
        </w:rPr>
        <w:t>7. Reporting Layer</w:t>
      </w:r>
    </w:p>
    <w:p>
      <w:pPr>
        <w:spacing w:after="120" w:before="0" w:line="259" w:lineRule="auto"/>
      </w:pPr>
      <w:r>
        <w:rPr>
          <w:rFonts w:ascii="Arial" w:hAnsi="Arial" w:cs="Arial" w:eastAsia="Arial"/>
          <w:b w:val="0"/>
          <w:i w:val="0"/>
          <w:color w:val="000000"/>
          <w:sz w:val="24"/>
          <w:u w:val="none"/>
        </w:rPr>
        <w:t>Playwright's built-in HTML reporter (playwright-report/) plus the list console reporter. Accessible with npm run report.</w:t>
      </w:r>
    </w:p>
    <w:p>
      <w:pPr>
        <w:spacing w:after="120" w:before="0" w:line="259" w:lineRule="auto"/>
      </w:pPr>
      <w:r>
        <w:rPr>
          <w:rFonts w:ascii="Arial" w:hAnsi="Arial" w:cs="Arial" w:eastAsia="Arial"/>
          <w:b w:val="0"/>
          <w:i w:val="0"/>
          <w:color w:val="000000"/>
          <w:sz w:val="24"/>
          <w:u w:val="none"/>
        </w:rPr>
        <w:t>Why: zero extra dependencies, traces and attachments built-in.</w:t>
      </w:r>
    </w:p>
    <w:p>
      <w:pPr>
        <w:spacing w:after="120" w:before="160" w:line="259" w:lineRule="auto"/>
        <w:jc w:val="left"/>
      </w:pPr>
      <w:r>
        <w:rPr>
          <w:rFonts w:ascii="Arial" w:hAnsi="Arial" w:cs="Arial" w:eastAsia="Arial"/>
          <w:b/>
          <w:i w:val="0"/>
          <w:color w:val="000000"/>
          <w:sz w:val="24"/>
          <w:u w:val="none"/>
        </w:rPr>
        <w:t>Dependency rules</w:t>
      </w:r>
    </w:p>
    <w:p>
      <w:pPr>
        <w:pStyle w:val="ListBullet"/>
        <w:spacing w:after="60" w:before="0" w:line="259" w:lineRule="auto"/>
      </w:pPr>
      <w:r>
        <w:rPr>
          <w:rFonts w:ascii="Arial" w:hAnsi="Arial" w:cs="Arial" w:eastAsia="Arial"/>
          <w:b w:val="0"/>
          <w:i w:val="0"/>
          <w:color w:val="000000"/>
          <w:sz w:val="24"/>
          <w:u w:val="none"/>
        </w:rPr>
        <w:t>Tests depend on Clients, which depend on Base, which depends on Playwright's request.</w:t>
      </w:r>
    </w:p>
    <w:p>
      <w:pPr>
        <w:pStyle w:val="ListBullet"/>
        <w:spacing w:after="60" w:before="0" w:line="259" w:lineRule="auto"/>
      </w:pPr>
      <w:r>
        <w:rPr>
          <w:rFonts w:ascii="Arial" w:hAnsi="Arial" w:cs="Arial" w:eastAsia="Arial"/>
          <w:b w:val="0"/>
          <w:i w:val="0"/>
          <w:color w:val="000000"/>
          <w:sz w:val="24"/>
          <w:u w:val="none"/>
        </w:rPr>
        <w:t>Tests may read Models and Data.</w:t>
      </w:r>
    </w:p>
    <w:p>
      <w:pPr>
        <w:pStyle w:val="ListBullet"/>
        <w:spacing w:after="60" w:before="0" w:line="259" w:lineRule="auto"/>
      </w:pPr>
      <w:r>
        <w:rPr>
          <w:rFonts w:ascii="Arial" w:hAnsi="Arial" w:cs="Arial" w:eastAsia="Arial"/>
          <w:b w:val="0"/>
          <w:i w:val="0"/>
          <w:color w:val="000000"/>
          <w:sz w:val="24"/>
          <w:u w:val="none"/>
        </w:rPr>
        <w:t>Any layer may use Utils and Config.</w:t>
      </w:r>
    </w:p>
    <w:p>
      <w:pPr>
        <w:pStyle w:val="ListBullet"/>
        <w:spacing w:after="60" w:before="0" w:line="259" w:lineRule="auto"/>
      </w:pPr>
      <w:r>
        <w:rPr>
          <w:rFonts w:ascii="Arial" w:hAnsi="Arial" w:cs="Arial" w:eastAsia="Arial"/>
          <w:b w:val="0"/>
          <w:i w:val="0"/>
          <w:color w:val="000000"/>
          <w:sz w:val="24"/>
          <w:u w:val="none"/>
        </w:rPr>
        <w:t>No upward dependencies: clients never know about tests.</w:t>
      </w:r>
    </w:p>
    <w:p>
      <w:pPr>
        <w:spacing w:after="120" w:before="160" w:line="259" w:lineRule="auto"/>
        <w:jc w:val="left"/>
      </w:pPr>
      <w:r>
        <w:rPr>
          <w:rFonts w:ascii="Arial" w:hAnsi="Arial" w:cs="Arial" w:eastAsia="Arial"/>
          <w:b/>
          <w:i w:val="0"/>
          <w:color w:val="000000"/>
          <w:sz w:val="24"/>
          <w:u w:val="none"/>
        </w:rPr>
        <w:t>Extending the framework</w:t>
      </w:r>
    </w:p>
    <w:p>
      <w:pPr>
        <w:pStyle w:val="ListBullet"/>
        <w:spacing w:after="60" w:before="0" w:line="259" w:lineRule="auto"/>
      </w:pPr>
      <w:r>
        <w:rPr>
          <w:rFonts w:ascii="Arial" w:hAnsi="Arial" w:cs="Arial" w:eastAsia="Arial"/>
          <w:b w:val="0"/>
          <w:i w:val="0"/>
          <w:color w:val="000000"/>
          <w:sz w:val="24"/>
          <w:u w:val="none"/>
        </w:rPr>
        <w:t>New resource (e.g. /comments): add CommentsClient, optional CommentModel, JSON Schema, and spec files. No changes elsewhere.</w:t>
      </w:r>
    </w:p>
    <w:p>
      <w:pPr>
        <w:pStyle w:val="ListBullet"/>
        <w:spacing w:after="60" w:before="0" w:line="259" w:lineRule="auto"/>
      </w:pPr>
      <w:r>
        <w:rPr>
          <w:rFonts w:ascii="Arial" w:hAnsi="Arial" w:cs="Arial" w:eastAsia="Arial"/>
          <w:b w:val="0"/>
          <w:i w:val="0"/>
          <w:color w:val="000000"/>
          <w:sz w:val="24"/>
          <w:u w:val="none"/>
        </w:rPr>
        <w:t>Authentication: add token handling to BaseApiClient and credentials to the Config layer.</w:t>
      </w:r>
    </w:p>
    <w:p>
      <w:pPr>
        <w:pStyle w:val="ListBullet"/>
        <w:spacing w:after="60" w:before="0" w:line="259" w:lineRule="auto"/>
      </w:pPr>
      <w:r>
        <w:rPr>
          <w:rFonts w:ascii="Arial" w:hAnsi="Arial" w:cs="Arial" w:eastAsia="Arial"/>
          <w:b w:val="0"/>
          <w:i w:val="0"/>
          <w:color w:val="000000"/>
          <w:sz w:val="24"/>
          <w:u w:val="none"/>
        </w:rPr>
        <w:t>New environment: add an .env.&lt;env&gt; file and select it via BASE_URL.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b w:val="0"/>
      <w:i w:val="0"/>
      <w:color w:val="000000"/>
      <w:sz w:val="24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cs="Arial" w:eastAsia="Arial"/>
      <w:b w:val="0"/>
      <w:i w:val="0"/>
      <w:color w:val="000000"/>
      <w:sz w:val="24"/>
      <w:u w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cs="Arial" w:eastAsia="Arial"/>
      <w:b w:val="0"/>
      <w:i w:val="0"/>
      <w:color w:val="000000"/>
      <w:sz w:val="24"/>
      <w:u w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cs="Arial" w:eastAsia="Arial"/>
      <w:b w:val="0"/>
      <w:i w:val="0"/>
      <w:color w:val="000000"/>
      <w:sz w:val="24"/>
      <w:u w:val="none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cs="Arial" w:eastAsia="Arial"/>
      <w:b w:val="0"/>
      <w:i w:val="0"/>
      <w:color w:val="000000"/>
      <w:sz w:val="24"/>
      <w:u w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cs="Arial" w:eastAsia="Arial"/>
      <w:b w:val="0"/>
      <w:i w:val="0"/>
      <w:color w:val="000000"/>
      <w:sz w:val="24"/>
      <w:u w:val="none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