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D78"/>
          <w:sz w:val="36"/>
        </w:rPr>
        <w:t>LAPORAN IMPLEMENTASI DESIGN PATTERN</w:t>
      </w:r>
    </w:p>
    <w:p>
      <w:pPr>
        <w:spacing w:after="240"/>
        <w:jc w:val="center"/>
      </w:pPr>
      <w:r>
        <w:rPr>
          <w:b/>
          <w:color w:val="2E74B5"/>
          <w:sz w:val="32"/>
        </w:rPr>
        <w:t>FACTORY DAN OBSERVER PATTERN</w:t>
        <w:br/>
        <w:t>PADA BACKEND</w:t>
      </w:r>
    </w:p>
    <w:p>
      <w:pPr>
        <w:spacing w:after="80"/>
        <w:jc w:val="center"/>
      </w:pPr>
      <w:r>
        <w:rPr>
          <w:i/>
        </w:rPr>
        <w:t>Dokumen disusun berdasarkan implementasi pada folder backend</w:t>
      </w:r>
    </w:p>
    <w:p>
      <w:pPr>
        <w:spacing w:after="320"/>
        <w:jc w:val="center"/>
      </w:pPr>
      <w:r>
        <w:t>Disusun untuk kebutuhan laporan teknis pengembangan sistem</w:t>
      </w:r>
    </w:p>
    <w:p>
      <w:pPr>
        <w:jc w:val="center"/>
      </w:pPr>
      <w:r>
        <w:t>16 Juni 2026</w:t>
      </w:r>
    </w:p>
    <w:p>
      <w:pPr>
        <w:sectPr>
          <w:pgSz w:w="12240" w:h="15840"/>
          <w:pgMar w:top="1440" w:right="1440" w:bottom="1440" w:left="1440" w:header="708" w:footer="708" w:gutter="0"/>
          <w:cols w:space="720"/>
          <w:docGrid w:linePitch="360"/>
        </w:sectPr>
      </w:pPr>
    </w:p>
    <w:p>
      <w:pPr>
        <w:pStyle w:val="Heading1"/>
      </w:pPr>
      <w:r>
        <w:t>Ringkasan</w:t>
      </w:r>
    </w:p>
    <w:p>
      <w:r>
        <w:t>Laporan ini membahas penerapan Factory Pattern dan Observer Pattern pada layer backend aplikasi UMKM Finance. Implementasi utama berada pada folder backend, khususnya file internal/patterns/factory.go, internal/patterns/observer.go, internal/services/transaction_service.go, internal/handlers/report.go, dan cmd/main.go.</w:t>
      </w:r>
    </w:p>
    <w:p>
      <w:r>
        <w:t>Factory Pattern digunakan untuk memusatkan pembuatan objek transaksi dan laporan. TransactionFactory membuat objek income atau expense berdasarkan tipe transaksi yang dikirim client, sedangkan ReportFactory memilih jenis laporan daily, weekly, atau monthly berdasarkan query parameter. Observer Pattern digunakan setelah transaksi berhasil disimpan, yaitu dengan mempublish TransactionEvent ke EventBus agar BudgetObserver, NotificationObserver, dan AuditObserver dapat menjalankan tugas masing-masing tanpa membuat TransactionService terlalu penuh dengan logic tambahan.</w:t>
      </w:r>
    </w:p>
    <w:p>
      <w:pPr>
        <w:pStyle w:val="Heading1"/>
      </w:pPr>
      <w:r>
        <w:t>Sistematika Pembahasan</w:t>
      </w:r>
    </w:p>
    <w:p>
      <w:pPr>
        <w:pStyle w:val="ListBullet"/>
        <w:spacing w:after="80"/>
      </w:pPr>
      <w:r>
        <w:t>Pendahuluan: latar belakang, tujuan, ruang lingkup, dan gambaran umum alur backend.</w:t>
      </w:r>
    </w:p>
    <w:p>
      <w:pPr>
        <w:pStyle w:val="ListBullet"/>
        <w:spacing w:after="80"/>
      </w:pPr>
      <w:r>
        <w:t>Factory Pattern: struktur TransactionFactory, ReportFactory, validasi bisnis, dan contoh pemakaian.</w:t>
      </w:r>
    </w:p>
    <w:p>
      <w:pPr>
        <w:pStyle w:val="ListBullet"/>
        <w:spacing w:after="80"/>
      </w:pPr>
      <w:r>
        <w:t>Observer Pattern: struktur EventBus, daftar observer, asynchronous publish, dan panic recovery.</w:t>
      </w:r>
    </w:p>
    <w:p>
      <w:pPr>
        <w:pStyle w:val="ListBullet"/>
        <w:spacing w:after="80"/>
      </w:pPr>
      <w:r>
        <w:t>Hubungan Factory dan Observer: urutan kerja pada proses create transaksi.</w:t>
      </w:r>
    </w:p>
    <w:p>
      <w:pPr>
        <w:pStyle w:val="ListBullet"/>
        <w:spacing w:after="80"/>
      </w:pPr>
      <w:r>
        <w:t>Pengembangan Sistem: contoh penambahan tipe transaksi, jenis laporan, dan observer baru.</w:t>
      </w:r>
    </w:p>
    <w:p>
      <w:pPr>
        <w:pStyle w:val="ListBullet"/>
        <w:spacing w:after="80"/>
      </w:pPr>
      <w:r>
        <w:t>Kesimpulan: manfaat penerapan pattern pada backend.</w:t>
      </w:r>
    </w:p>
    <w:p>
      <w:pPr>
        <w:pStyle w:val="Heading1"/>
      </w:pPr>
      <w:r>
        <w:t>1. Pendahuluan</w:t>
      </w:r>
    </w:p>
    <w:p>
      <w:pPr>
        <w:pStyle w:val="Heading2"/>
      </w:pPr>
      <w:r>
        <w:t>1.1 Latar Belakang</w:t>
      </w:r>
    </w:p>
    <w:p>
      <w:r>
        <w:t>Backend aplikasi keuangan UMKM tidak hanya menerima request dari web atau mobile. Backend juga harus memvalidasi data, membuat objek domain, menyimpan transaksi ke database, memperbarui anggaran, membuat notifikasi, menghasilkan laporan, dan mencatat aktivitas penting. Jika seluruh logic tersebut diletakkan langsung pada handler, kode akan menjadi panjang, sulit diuji, dan sulit diperluas.</w:t>
      </w:r>
    </w:p>
    <w:p>
      <w:r>
        <w:t>Untuk menjaga pemisahan tanggung jawab, backend menggunakan Factory Pattern dan Observer Pattern. Factory Pattern mengatur pembuatan objek transaksi dan laporan, sedangkan Observer Pattern mengatur efek lanjutan setelah transaksi berhasil disimpan.</w:t>
      </w:r>
    </w:p>
    <w:p>
      <w:pPr>
        <w:pStyle w:val="Heading2"/>
      </w:pPr>
      <w:r>
        <w:t>1.2 Tujuan</w:t>
      </w:r>
    </w:p>
    <w:p>
      <w:pPr>
        <w:pStyle w:val="ListBullet"/>
        <w:spacing w:after="80"/>
      </w:pPr>
      <w:r>
        <w:t>Menjelaskan penggunaan Factory Pattern pada pembuatan objek transaksi dan laporan.</w:t>
      </w:r>
    </w:p>
    <w:p>
      <w:pPr>
        <w:pStyle w:val="ListBullet"/>
        <w:spacing w:after="80"/>
      </w:pPr>
      <w:r>
        <w:t>Menjelaskan penggunaan Observer Pattern pada efek samping setelah transaksi disimpan.</w:t>
      </w:r>
    </w:p>
    <w:p>
      <w:pPr>
        <w:pStyle w:val="ListBullet"/>
        <w:spacing w:after="80"/>
      </w:pPr>
      <w:r>
        <w:t>Menunjukkan hubungan antara TransactionService, TransactionFactory, ReportFactory, dan TransactionEventBus.</w:t>
      </w:r>
    </w:p>
    <w:p>
      <w:pPr>
        <w:pStyle w:val="ListBullet"/>
        <w:spacing w:after="80"/>
      </w:pPr>
      <w:r>
        <w:t>Menjelaskan manfaat pattern terhadap keterbacaan, pengujian, dan pengembangan backend.</w:t>
      </w:r>
    </w:p>
    <w:p>
      <w:pPr>
        <w:pStyle w:val="Heading2"/>
      </w:pPr>
      <w:r>
        <w:t>1.3 Ruang Lingkup</w:t>
      </w:r>
    </w:p>
    <w:p>
      <w:r>
        <w:t>Ruang lingkup laporan ini dibatasi pada folder backend. Pembahasan tidak mencakup implementasi tampilan web, tampilan mobile, atau detail styling UI. File utama yang dibahas adalah sebagai berikut.</w:t>
      </w:r>
    </w:p>
    <w:tbl>
      <w:tblPr>
        <w:tblStyle w:val="TableGrid"/>
        <w:tblW w:type="auto" w:w="0"/>
        <w:tblLayout w:type="fixed"/>
        <w:tblLook w:firstColumn="1" w:firstRow="1" w:lastColumn="0" w:lastRow="0" w:noHBand="0" w:noVBand="1" w:val="04A0"/>
      </w:tblPr>
      <w:tblGrid>
        <w:gridCol w:w="3600"/>
        <w:gridCol w:w="5760"/>
      </w:tblGrid>
      <w:tr>
        <w:tc>
          <w:tcPr>
            <w:tcW w:type="dxa" w:w="4680"/>
            <w:vAlign w:val="center"/>
            <w:shd w:fill="F2F4F7"/>
          </w:tcPr>
          <w:p>
            <w:pPr>
              <w:spacing w:after="0"/>
            </w:pPr>
            <w:r/>
            <w:r>
              <w:rPr>
                <w:rFonts w:ascii="Calibri" w:hAnsi="Calibri"/>
                <w:b/>
                <w:sz w:val="20"/>
              </w:rPr>
              <w:t>File</w:t>
            </w:r>
          </w:p>
        </w:tc>
        <w:tc>
          <w:tcPr>
            <w:tcW w:type="dxa" w:w="4680"/>
            <w:vAlign w:val="center"/>
            <w:shd w:fill="F2F4F7"/>
          </w:tcPr>
          <w:p>
            <w:pPr>
              <w:spacing w:after="0"/>
            </w:pPr>
            <w:r/>
            <w:r>
              <w:rPr>
                <w:rFonts w:ascii="Calibri" w:hAnsi="Calibri"/>
                <w:b/>
                <w:sz w:val="20"/>
              </w:rPr>
              <w:t>Peran</w:t>
            </w:r>
          </w:p>
        </w:tc>
      </w:tr>
      <w:tr>
        <w:tc>
          <w:tcPr>
            <w:tcW w:type="dxa" w:w="3600"/>
            <w:vAlign w:val="center"/>
          </w:tcPr>
          <w:p>
            <w:pPr>
              <w:spacing w:after="0"/>
            </w:pPr>
            <w:r/>
            <w:r>
              <w:rPr>
                <w:rFonts w:ascii="Calibri" w:hAnsi="Calibri"/>
                <w:b w:val="0"/>
                <w:sz w:val="20"/>
              </w:rPr>
              <w:t>backend/internal/patterns/factory.go</w:t>
            </w:r>
          </w:p>
        </w:tc>
        <w:tc>
          <w:tcPr>
            <w:tcW w:type="dxa" w:w="5760"/>
            <w:vAlign w:val="center"/>
          </w:tcPr>
          <w:p>
            <w:pPr>
              <w:spacing w:after="0"/>
            </w:pPr>
            <w:r/>
            <w:r>
              <w:rPr>
                <w:rFonts w:ascii="Calibri" w:hAnsi="Calibri"/>
                <w:b w:val="0"/>
                <w:sz w:val="20"/>
              </w:rPr>
              <w:t>Berisi TransactionFactory, ReportFactory, product transaksi, dan product laporan.</w:t>
            </w:r>
          </w:p>
        </w:tc>
      </w:tr>
      <w:tr>
        <w:tc>
          <w:tcPr>
            <w:tcW w:type="dxa" w:w="3600"/>
            <w:vAlign w:val="center"/>
          </w:tcPr>
          <w:p>
            <w:pPr>
              <w:spacing w:after="0"/>
            </w:pPr>
            <w:r/>
            <w:r>
              <w:rPr>
                <w:rFonts w:ascii="Calibri" w:hAnsi="Calibri"/>
                <w:b w:val="0"/>
                <w:sz w:val="20"/>
              </w:rPr>
              <w:t>backend/internal/patterns/observer.go</w:t>
            </w:r>
          </w:p>
        </w:tc>
        <w:tc>
          <w:tcPr>
            <w:tcW w:type="dxa" w:w="5760"/>
            <w:vAlign w:val="center"/>
          </w:tcPr>
          <w:p>
            <w:pPr>
              <w:spacing w:after="0"/>
            </w:pPr>
            <w:r/>
            <w:r>
              <w:rPr>
                <w:rFonts w:ascii="Calibri" w:hAnsi="Calibri"/>
                <w:b w:val="0"/>
                <w:sz w:val="20"/>
              </w:rPr>
              <w:t>Berisi TransactionEventBus dan observer default untuk budget, notifikasi, dan audit.</w:t>
            </w:r>
          </w:p>
        </w:tc>
      </w:tr>
      <w:tr>
        <w:tc>
          <w:tcPr>
            <w:tcW w:type="dxa" w:w="3600"/>
            <w:vAlign w:val="center"/>
          </w:tcPr>
          <w:p>
            <w:pPr>
              <w:spacing w:after="0"/>
            </w:pPr>
            <w:r/>
            <w:r>
              <w:rPr>
                <w:rFonts w:ascii="Calibri" w:hAnsi="Calibri"/>
                <w:b w:val="0"/>
                <w:sz w:val="20"/>
              </w:rPr>
              <w:t>backend/internal/services/transaction_service.go</w:t>
            </w:r>
          </w:p>
        </w:tc>
        <w:tc>
          <w:tcPr>
            <w:tcW w:type="dxa" w:w="5760"/>
            <w:vAlign w:val="center"/>
          </w:tcPr>
          <w:p>
            <w:pPr>
              <w:spacing w:after="0"/>
            </w:pPr>
            <w:r/>
            <w:r>
              <w:rPr>
                <w:rFonts w:ascii="Calibri" w:hAnsi="Calibri"/>
                <w:b w:val="0"/>
                <w:sz w:val="20"/>
              </w:rPr>
              <w:t>Menghubungkan Factory dan Observer pada proses create transaksi.</w:t>
            </w:r>
          </w:p>
        </w:tc>
      </w:tr>
      <w:tr>
        <w:tc>
          <w:tcPr>
            <w:tcW w:type="dxa" w:w="3600"/>
            <w:vAlign w:val="center"/>
          </w:tcPr>
          <w:p>
            <w:pPr>
              <w:spacing w:after="0"/>
            </w:pPr>
            <w:r/>
            <w:r>
              <w:rPr>
                <w:rFonts w:ascii="Calibri" w:hAnsi="Calibri"/>
                <w:b w:val="0"/>
                <w:sz w:val="20"/>
              </w:rPr>
              <w:t>backend/internal/handlers/report.go</w:t>
            </w:r>
          </w:p>
        </w:tc>
        <w:tc>
          <w:tcPr>
            <w:tcW w:type="dxa" w:w="5760"/>
            <w:vAlign w:val="center"/>
          </w:tcPr>
          <w:p>
            <w:pPr>
              <w:spacing w:after="0"/>
            </w:pPr>
            <w:r/>
            <w:r>
              <w:rPr>
                <w:rFonts w:ascii="Calibri" w:hAnsi="Calibri"/>
                <w:b w:val="0"/>
                <w:sz w:val="20"/>
              </w:rPr>
              <w:t>Menggunakan ReportFactory untuk memilih jenis laporan dari query parameter.</w:t>
            </w:r>
          </w:p>
        </w:tc>
      </w:tr>
      <w:tr>
        <w:tc>
          <w:tcPr>
            <w:tcW w:type="dxa" w:w="3600"/>
            <w:vAlign w:val="center"/>
          </w:tcPr>
          <w:p>
            <w:pPr>
              <w:spacing w:after="0"/>
            </w:pPr>
            <w:r/>
            <w:r>
              <w:rPr>
                <w:rFonts w:ascii="Calibri" w:hAnsi="Calibri"/>
                <w:b w:val="0"/>
                <w:sz w:val="20"/>
              </w:rPr>
              <w:t>backend/cmd/main.go</w:t>
            </w:r>
          </w:p>
        </w:tc>
        <w:tc>
          <w:tcPr>
            <w:tcW w:type="dxa" w:w="5760"/>
            <w:vAlign w:val="center"/>
          </w:tcPr>
          <w:p>
            <w:pPr>
              <w:spacing w:after="0"/>
            </w:pPr>
            <w:r/>
            <w:r>
              <w:rPr>
                <w:rFonts w:ascii="Calibri" w:hAnsi="Calibri"/>
                <w:b w:val="0"/>
                <w:sz w:val="20"/>
              </w:rPr>
              <w:t>Melakukan inisialisasi factory, event bus, service, handler, dan route API.</w:t>
            </w:r>
          </w:p>
        </w:tc>
      </w:tr>
    </w:tbl>
    <w:p/>
    <w:p>
      <w:pPr>
        <w:pStyle w:val="Heading2"/>
      </w:pPr>
      <w:r>
        <w:t>1.4 Gambaran Umum Alur Backend</w:t>
      </w:r>
    </w:p>
    <w:p>
      <w:r>
        <w:t>Alur utama terjadi ketika client mengirim request POST /api/transactions. Handler menerima input dan tenant ID, kemudian meneruskan data ke TransactionService. Service meminta TransactionFactory membuat objek transaksi yang sesuai, menjalankan validasi, menyimpan record ke database, lalu mempublish event transaksi ke EventBus.</w:t>
      </w:r>
    </w:p>
    <w:tbl>
      <w:tblPr>
        <w:tblStyle w:val="TableGrid"/>
        <w:tblW w:type="auto" w:w="0"/>
        <w:tblLayout w:type="fixed"/>
        <w:tblLook w:firstColumn="1" w:firstRow="1" w:lastColumn="0" w:lastRow="0" w:noHBand="0" w:noVBand="1" w:val="04A0"/>
      </w:tblPr>
      <w:tblGrid>
        <w:gridCol w:w="1008"/>
        <w:gridCol w:w="2880"/>
        <w:gridCol w:w="5472"/>
      </w:tblGrid>
      <w:tr>
        <w:tc>
          <w:tcPr>
            <w:tcW w:type="dxa" w:w="3120"/>
            <w:vAlign w:val="center"/>
            <w:shd w:fill="F2F4F7"/>
          </w:tcPr>
          <w:p>
            <w:pPr>
              <w:spacing w:after="0"/>
            </w:pPr>
            <w:r/>
            <w:r>
              <w:rPr>
                <w:rFonts w:ascii="Calibri" w:hAnsi="Calibri"/>
                <w:b/>
                <w:sz w:val="20"/>
              </w:rPr>
              <w:t>Tahap</w:t>
            </w:r>
          </w:p>
        </w:tc>
        <w:tc>
          <w:tcPr>
            <w:tcW w:type="dxa" w:w="3120"/>
            <w:vAlign w:val="center"/>
            <w:shd w:fill="F2F4F7"/>
          </w:tcPr>
          <w:p>
            <w:pPr>
              <w:spacing w:after="0"/>
            </w:pPr>
            <w:r/>
            <w:r>
              <w:rPr>
                <w:rFonts w:ascii="Calibri" w:hAnsi="Calibri"/>
                <w:b/>
                <w:sz w:val="20"/>
              </w:rPr>
              <w:t>Komponen</w:t>
            </w:r>
          </w:p>
        </w:tc>
        <w:tc>
          <w:tcPr>
            <w:tcW w:type="dxa" w:w="3120"/>
            <w:vAlign w:val="center"/>
            <w:shd w:fill="F2F4F7"/>
          </w:tcPr>
          <w:p>
            <w:pPr>
              <w:spacing w:after="0"/>
            </w:pPr>
            <w:r/>
            <w:r>
              <w:rPr>
                <w:rFonts w:ascii="Calibri" w:hAnsi="Calibri"/>
                <w:b/>
                <w:sz w:val="20"/>
              </w:rPr>
              <w:t>Keterangan</w:t>
            </w:r>
          </w:p>
        </w:tc>
      </w:tr>
      <w:tr>
        <w:tc>
          <w:tcPr>
            <w:tcW w:type="dxa" w:w="1008"/>
            <w:vAlign w:val="center"/>
          </w:tcPr>
          <w:p>
            <w:pPr>
              <w:spacing w:after="0"/>
            </w:pPr>
            <w:r/>
            <w:r>
              <w:rPr>
                <w:rFonts w:ascii="Calibri" w:hAnsi="Calibri"/>
                <w:b w:val="0"/>
                <w:sz w:val="20"/>
              </w:rPr>
              <w:t>1</w:t>
            </w:r>
          </w:p>
        </w:tc>
        <w:tc>
          <w:tcPr>
            <w:tcW w:type="dxa" w:w="2880"/>
            <w:vAlign w:val="center"/>
          </w:tcPr>
          <w:p>
            <w:pPr>
              <w:spacing w:after="0"/>
            </w:pPr>
            <w:r/>
            <w:r>
              <w:rPr>
                <w:rFonts w:ascii="Calibri" w:hAnsi="Calibri"/>
                <w:b w:val="0"/>
                <w:sz w:val="20"/>
              </w:rPr>
              <w:t>TransactionHandler</w:t>
            </w:r>
          </w:p>
        </w:tc>
        <w:tc>
          <w:tcPr>
            <w:tcW w:type="dxa" w:w="5472"/>
            <w:vAlign w:val="center"/>
          </w:tcPr>
          <w:p>
            <w:pPr>
              <w:spacing w:after="0"/>
            </w:pPr>
            <w:r/>
            <w:r>
              <w:rPr>
                <w:rFonts w:ascii="Calibri" w:hAnsi="Calibri"/>
                <w:b w:val="0"/>
                <w:sz w:val="20"/>
              </w:rPr>
              <w:t>Menerima request JSON dan tenant ID dari middleware.</w:t>
            </w:r>
          </w:p>
        </w:tc>
      </w:tr>
      <w:tr>
        <w:tc>
          <w:tcPr>
            <w:tcW w:type="dxa" w:w="1008"/>
            <w:vAlign w:val="center"/>
          </w:tcPr>
          <w:p>
            <w:pPr>
              <w:spacing w:after="0"/>
            </w:pPr>
            <w:r/>
            <w:r>
              <w:rPr>
                <w:rFonts w:ascii="Calibri" w:hAnsi="Calibri"/>
                <w:b w:val="0"/>
                <w:sz w:val="20"/>
              </w:rPr>
              <w:t>2</w:t>
            </w:r>
          </w:p>
        </w:tc>
        <w:tc>
          <w:tcPr>
            <w:tcW w:type="dxa" w:w="2880"/>
            <w:vAlign w:val="center"/>
          </w:tcPr>
          <w:p>
            <w:pPr>
              <w:spacing w:after="0"/>
            </w:pPr>
            <w:r/>
            <w:r>
              <w:rPr>
                <w:rFonts w:ascii="Calibri" w:hAnsi="Calibri"/>
                <w:b w:val="0"/>
                <w:sz w:val="20"/>
              </w:rPr>
              <w:t>TransactionService</w:t>
            </w:r>
          </w:p>
        </w:tc>
        <w:tc>
          <w:tcPr>
            <w:tcW w:type="dxa" w:w="5472"/>
            <w:vAlign w:val="center"/>
          </w:tcPr>
          <w:p>
            <w:pPr>
              <w:spacing w:after="0"/>
            </w:pPr>
            <w:r/>
            <w:r>
              <w:rPr>
                <w:rFonts w:ascii="Calibri" w:hAnsi="Calibri"/>
                <w:b w:val="0"/>
                <w:sz w:val="20"/>
              </w:rPr>
              <w:t>Mengatur flow utama create transaksi.</w:t>
            </w:r>
          </w:p>
        </w:tc>
      </w:tr>
      <w:tr>
        <w:tc>
          <w:tcPr>
            <w:tcW w:type="dxa" w:w="1008"/>
            <w:vAlign w:val="center"/>
          </w:tcPr>
          <w:p>
            <w:pPr>
              <w:spacing w:after="0"/>
            </w:pPr>
            <w:r/>
            <w:r>
              <w:rPr>
                <w:rFonts w:ascii="Calibri" w:hAnsi="Calibri"/>
                <w:b w:val="0"/>
                <w:sz w:val="20"/>
              </w:rPr>
              <w:t>3</w:t>
            </w:r>
          </w:p>
        </w:tc>
        <w:tc>
          <w:tcPr>
            <w:tcW w:type="dxa" w:w="2880"/>
            <w:vAlign w:val="center"/>
          </w:tcPr>
          <w:p>
            <w:pPr>
              <w:spacing w:after="0"/>
            </w:pPr>
            <w:r/>
            <w:r>
              <w:rPr>
                <w:rFonts w:ascii="Calibri" w:hAnsi="Calibri"/>
                <w:b w:val="0"/>
                <w:sz w:val="20"/>
              </w:rPr>
              <w:t>TransactionFactory</w:t>
            </w:r>
          </w:p>
        </w:tc>
        <w:tc>
          <w:tcPr>
            <w:tcW w:type="dxa" w:w="5472"/>
            <w:vAlign w:val="center"/>
          </w:tcPr>
          <w:p>
            <w:pPr>
              <w:spacing w:after="0"/>
            </w:pPr>
            <w:r/>
            <w:r>
              <w:rPr>
                <w:rFonts w:ascii="Calibri" w:hAnsi="Calibri"/>
                <w:b w:val="0"/>
                <w:sz w:val="20"/>
              </w:rPr>
              <w:t>Membuat IncomeTransaction atau ExpenseTransaction.</w:t>
            </w:r>
          </w:p>
        </w:tc>
      </w:tr>
      <w:tr>
        <w:tc>
          <w:tcPr>
            <w:tcW w:type="dxa" w:w="1008"/>
            <w:vAlign w:val="center"/>
          </w:tcPr>
          <w:p>
            <w:pPr>
              <w:spacing w:after="0"/>
            </w:pPr>
            <w:r/>
            <w:r>
              <w:rPr>
                <w:rFonts w:ascii="Calibri" w:hAnsi="Calibri"/>
                <w:b w:val="0"/>
                <w:sz w:val="20"/>
              </w:rPr>
              <w:t>4</w:t>
            </w:r>
          </w:p>
        </w:tc>
        <w:tc>
          <w:tcPr>
            <w:tcW w:type="dxa" w:w="2880"/>
            <w:vAlign w:val="center"/>
          </w:tcPr>
          <w:p>
            <w:pPr>
              <w:spacing w:after="0"/>
            </w:pPr>
            <w:r/>
            <w:r>
              <w:rPr>
                <w:rFonts w:ascii="Calibri" w:hAnsi="Calibri"/>
                <w:b w:val="0"/>
                <w:sz w:val="20"/>
              </w:rPr>
              <w:t>Database</w:t>
            </w:r>
          </w:p>
        </w:tc>
        <w:tc>
          <w:tcPr>
            <w:tcW w:type="dxa" w:w="5472"/>
            <w:vAlign w:val="center"/>
          </w:tcPr>
          <w:p>
            <w:pPr>
              <w:spacing w:after="0"/>
            </w:pPr>
            <w:r/>
            <w:r>
              <w:rPr>
                <w:rFonts w:ascii="Calibri" w:hAnsi="Calibri"/>
                <w:b w:val="0"/>
                <w:sz w:val="20"/>
              </w:rPr>
              <w:t>Menyimpan record transaksi.</w:t>
            </w:r>
          </w:p>
        </w:tc>
      </w:tr>
      <w:tr>
        <w:tc>
          <w:tcPr>
            <w:tcW w:type="dxa" w:w="1008"/>
            <w:vAlign w:val="center"/>
          </w:tcPr>
          <w:p>
            <w:pPr>
              <w:spacing w:after="0"/>
            </w:pPr>
            <w:r/>
            <w:r>
              <w:rPr>
                <w:rFonts w:ascii="Calibri" w:hAnsi="Calibri"/>
                <w:b w:val="0"/>
                <w:sz w:val="20"/>
              </w:rPr>
              <w:t>5</w:t>
            </w:r>
          </w:p>
        </w:tc>
        <w:tc>
          <w:tcPr>
            <w:tcW w:type="dxa" w:w="2880"/>
            <w:vAlign w:val="center"/>
          </w:tcPr>
          <w:p>
            <w:pPr>
              <w:spacing w:after="0"/>
            </w:pPr>
            <w:r/>
            <w:r>
              <w:rPr>
                <w:rFonts w:ascii="Calibri" w:hAnsi="Calibri"/>
                <w:b w:val="0"/>
                <w:sz w:val="20"/>
              </w:rPr>
              <w:t>TransactionEventBus</w:t>
            </w:r>
          </w:p>
        </w:tc>
        <w:tc>
          <w:tcPr>
            <w:tcW w:type="dxa" w:w="5472"/>
            <w:vAlign w:val="center"/>
          </w:tcPr>
          <w:p>
            <w:pPr>
              <w:spacing w:after="0"/>
            </w:pPr>
            <w:r/>
            <w:r>
              <w:rPr>
                <w:rFonts w:ascii="Calibri" w:hAnsi="Calibri"/>
                <w:b w:val="0"/>
                <w:sz w:val="20"/>
              </w:rPr>
              <w:t>Mempublish event ke seluruh observer.</w:t>
            </w:r>
          </w:p>
        </w:tc>
      </w:tr>
      <w:tr>
        <w:tc>
          <w:tcPr>
            <w:tcW w:type="dxa" w:w="1008"/>
            <w:vAlign w:val="center"/>
          </w:tcPr>
          <w:p>
            <w:pPr>
              <w:spacing w:after="0"/>
            </w:pPr>
            <w:r/>
            <w:r>
              <w:rPr>
                <w:rFonts w:ascii="Calibri" w:hAnsi="Calibri"/>
                <w:b w:val="0"/>
                <w:sz w:val="20"/>
              </w:rPr>
              <w:t>6</w:t>
            </w:r>
          </w:p>
        </w:tc>
        <w:tc>
          <w:tcPr>
            <w:tcW w:type="dxa" w:w="2880"/>
            <w:vAlign w:val="center"/>
          </w:tcPr>
          <w:p>
            <w:pPr>
              <w:spacing w:after="0"/>
            </w:pPr>
            <w:r/>
            <w:r>
              <w:rPr>
                <w:rFonts w:ascii="Calibri" w:hAnsi="Calibri"/>
                <w:b w:val="0"/>
                <w:sz w:val="20"/>
              </w:rPr>
              <w:t>Observers</w:t>
            </w:r>
          </w:p>
        </w:tc>
        <w:tc>
          <w:tcPr>
            <w:tcW w:type="dxa" w:w="5472"/>
            <w:vAlign w:val="center"/>
          </w:tcPr>
          <w:p>
            <w:pPr>
              <w:spacing w:after="0"/>
            </w:pPr>
            <w:r/>
            <w:r>
              <w:rPr>
                <w:rFonts w:ascii="Calibri" w:hAnsi="Calibri"/>
                <w:b w:val="0"/>
                <w:sz w:val="20"/>
              </w:rPr>
              <w:t>Memperbarui budget, membuat notifikasi, dan mencatat audit log.</w:t>
            </w:r>
          </w:p>
        </w:tc>
      </w:tr>
    </w:tbl>
    <w:p/>
    <w:p>
      <w:pPr>
        <w:pStyle w:val="Heading1"/>
      </w:pPr>
      <w:r>
        <w:t>2. Factory Pattern pada Backend</w:t>
      </w:r>
    </w:p>
    <w:p>
      <w:pPr>
        <w:pStyle w:val="Heading2"/>
      </w:pPr>
      <w:r>
        <w:t>2.1 Konsep Dasar Factory Pattern</w:t>
      </w:r>
    </w:p>
    <w:p>
      <w:r>
        <w:t>Factory Pattern adalah pola desain yang memusatkan proses pembuatan objek. Pemakai factory cukup memberikan parameter, lalu factory menentukan struct atau product yang tepat. Pada backend, pattern ini membuat handler dan service tidak perlu mengetahui detail pembuatan setiap jenis transaksi atau laporan.</w:t>
      </w:r>
    </w:p>
    <w:p>
      <w:pPr>
        <w:pStyle w:val="Heading2"/>
      </w:pPr>
      <w:r>
        <w:t>2.2 TransactionFactory</w:t>
      </w:r>
    </w:p>
    <w:p>
      <w:r>
        <w:t>TransactionFactory berada di backend/internal/patterns/factory.go. Factory ini membuat objek yang memenuhi interface Transaction. Saat ini terdapat dua concrete product, yaitu IncomeTransaction untuk pemasukan dan ExpenseTransaction untuk pengeluaran.</w:t>
      </w:r>
    </w:p>
    <w:tbl>
      <w:tblPr>
        <w:tblStyle w:val="TableGrid"/>
        <w:tblW w:type="auto" w:w="0"/>
        <w:tblLayout w:type="fixed"/>
        <w:tblLook w:firstColumn="1" w:firstRow="1" w:lastColumn="0" w:lastRow="0" w:noHBand="0" w:noVBand="1" w:val="04A0"/>
      </w:tblPr>
      <w:tblGrid>
        <w:gridCol w:w="3168"/>
        <w:gridCol w:w="6192"/>
      </w:tblGrid>
      <w:tr>
        <w:tc>
          <w:tcPr>
            <w:tcW w:type="dxa" w:w="4680"/>
            <w:vAlign w:val="center"/>
            <w:shd w:fill="F2F4F7"/>
          </w:tcPr>
          <w:p>
            <w:pPr>
              <w:spacing w:after="0"/>
            </w:pPr>
            <w:r/>
            <w:r>
              <w:rPr>
                <w:rFonts w:ascii="Calibri" w:hAnsi="Calibri"/>
                <w:b/>
                <w:sz w:val="20"/>
              </w:rPr>
              <w:t>Bagian</w:t>
            </w:r>
          </w:p>
        </w:tc>
        <w:tc>
          <w:tcPr>
            <w:tcW w:type="dxa" w:w="4680"/>
            <w:vAlign w:val="center"/>
            <w:shd w:fill="F2F4F7"/>
          </w:tcPr>
          <w:p>
            <w:pPr>
              <w:spacing w:after="0"/>
            </w:pPr>
            <w:r/>
            <w:r>
              <w:rPr>
                <w:rFonts w:ascii="Calibri" w:hAnsi="Calibri"/>
                <w:b/>
                <w:sz w:val="20"/>
              </w:rPr>
              <w:t>Keterangan</w:t>
            </w:r>
          </w:p>
        </w:tc>
      </w:tr>
      <w:tr>
        <w:tc>
          <w:tcPr>
            <w:tcW w:type="dxa" w:w="3168"/>
            <w:vAlign w:val="center"/>
          </w:tcPr>
          <w:p>
            <w:pPr>
              <w:spacing w:after="0"/>
            </w:pPr>
            <w:r/>
            <w:r>
              <w:rPr>
                <w:rFonts w:ascii="Calibri" w:hAnsi="Calibri"/>
                <w:b w:val="0"/>
                <w:sz w:val="20"/>
              </w:rPr>
              <w:t>Transaction interface</w:t>
            </w:r>
          </w:p>
        </w:tc>
        <w:tc>
          <w:tcPr>
            <w:tcW w:type="dxa" w:w="6192"/>
            <w:vAlign w:val="center"/>
          </w:tcPr>
          <w:p>
            <w:pPr>
              <w:spacing w:after="0"/>
            </w:pPr>
            <w:r/>
            <w:r>
              <w:rPr>
                <w:rFonts w:ascii="Calibri" w:hAnsi="Calibri"/>
                <w:b w:val="0"/>
                <w:sz w:val="20"/>
              </w:rPr>
              <w:t>Kontrak yang wajib dipenuhi semua jenis transaksi.</w:t>
            </w:r>
          </w:p>
        </w:tc>
      </w:tr>
      <w:tr>
        <w:tc>
          <w:tcPr>
            <w:tcW w:type="dxa" w:w="3168"/>
            <w:vAlign w:val="center"/>
          </w:tcPr>
          <w:p>
            <w:pPr>
              <w:spacing w:after="0"/>
            </w:pPr>
            <w:r/>
            <w:r>
              <w:rPr>
                <w:rFonts w:ascii="Calibri" w:hAnsi="Calibri"/>
                <w:b w:val="0"/>
                <w:sz w:val="20"/>
              </w:rPr>
              <w:t>IncomeTransaction</w:t>
            </w:r>
          </w:p>
        </w:tc>
        <w:tc>
          <w:tcPr>
            <w:tcW w:type="dxa" w:w="6192"/>
            <w:vAlign w:val="center"/>
          </w:tcPr>
          <w:p>
            <w:pPr>
              <w:spacing w:after="0"/>
            </w:pPr>
            <w:r/>
            <w:r>
              <w:rPr>
                <w:rFonts w:ascii="Calibri" w:hAnsi="Calibri"/>
                <w:b w:val="0"/>
                <w:sz w:val="20"/>
              </w:rPr>
              <w:t>Concrete product untuk transaksi pemasukan.</w:t>
            </w:r>
          </w:p>
        </w:tc>
      </w:tr>
      <w:tr>
        <w:tc>
          <w:tcPr>
            <w:tcW w:type="dxa" w:w="3168"/>
            <w:vAlign w:val="center"/>
          </w:tcPr>
          <w:p>
            <w:pPr>
              <w:spacing w:after="0"/>
            </w:pPr>
            <w:r/>
            <w:r>
              <w:rPr>
                <w:rFonts w:ascii="Calibri" w:hAnsi="Calibri"/>
                <w:b w:val="0"/>
                <w:sz w:val="20"/>
              </w:rPr>
              <w:t>ExpenseTransaction</w:t>
            </w:r>
          </w:p>
        </w:tc>
        <w:tc>
          <w:tcPr>
            <w:tcW w:type="dxa" w:w="6192"/>
            <w:vAlign w:val="center"/>
          </w:tcPr>
          <w:p>
            <w:pPr>
              <w:spacing w:after="0"/>
            </w:pPr>
            <w:r/>
            <w:r>
              <w:rPr>
                <w:rFonts w:ascii="Calibri" w:hAnsi="Calibri"/>
                <w:b w:val="0"/>
                <w:sz w:val="20"/>
              </w:rPr>
              <w:t>Concrete product untuk transaksi pengeluaran.</w:t>
            </w:r>
          </w:p>
        </w:tc>
      </w:tr>
      <w:tr>
        <w:tc>
          <w:tcPr>
            <w:tcW w:type="dxa" w:w="3168"/>
            <w:vAlign w:val="center"/>
          </w:tcPr>
          <w:p>
            <w:pPr>
              <w:spacing w:after="0"/>
            </w:pPr>
            <w:r/>
            <w:r>
              <w:rPr>
                <w:rFonts w:ascii="Calibri" w:hAnsi="Calibri"/>
                <w:b w:val="0"/>
                <w:sz w:val="20"/>
              </w:rPr>
              <w:t>TransactionFactory.Create</w:t>
            </w:r>
          </w:p>
        </w:tc>
        <w:tc>
          <w:tcPr>
            <w:tcW w:type="dxa" w:w="6192"/>
            <w:vAlign w:val="center"/>
          </w:tcPr>
          <w:p>
            <w:pPr>
              <w:spacing w:after="0"/>
            </w:pPr>
            <w:r/>
            <w:r>
              <w:rPr>
                <w:rFonts w:ascii="Calibri" w:hAnsi="Calibri"/>
                <w:b w:val="0"/>
                <w:sz w:val="20"/>
              </w:rPr>
              <w:t>Method yang memilih product berdasarkan nilai txType.</w:t>
            </w:r>
          </w:p>
        </w:tc>
      </w:tr>
      <w:tr>
        <w:tc>
          <w:tcPr>
            <w:tcW w:type="dxa" w:w="3168"/>
            <w:vAlign w:val="center"/>
          </w:tcPr>
          <w:p>
            <w:pPr>
              <w:spacing w:after="0"/>
            </w:pPr>
            <w:r/>
            <w:r>
              <w:rPr>
                <w:rFonts w:ascii="Calibri" w:hAnsi="Calibri"/>
                <w:b w:val="0"/>
                <w:sz w:val="20"/>
              </w:rPr>
              <w:t>Validate</w:t>
            </w:r>
          </w:p>
        </w:tc>
        <w:tc>
          <w:tcPr>
            <w:tcW w:type="dxa" w:w="6192"/>
            <w:vAlign w:val="center"/>
          </w:tcPr>
          <w:p>
            <w:pPr>
              <w:spacing w:after="0"/>
            </w:pPr>
            <w:r/>
            <w:r>
              <w:rPr>
                <w:rFonts w:ascii="Calibri" w:hAnsi="Calibri"/>
                <w:b w:val="0"/>
                <w:sz w:val="20"/>
              </w:rPr>
              <w:t>Method validasi bisnis pada setiap product transaksi.</w:t>
            </w:r>
          </w:p>
        </w:tc>
      </w:tr>
    </w:tbl>
    <w:p/>
    <w:p>
      <w:pPr>
        <w:spacing w:before="80" w:after="60"/>
      </w:pPr>
      <w:r>
        <w:rPr>
          <w:b/>
          <w:sz w:val="20"/>
        </w:rPr>
        <w:t>Kode 1. Kontrak transaksi dan factory create</w:t>
      </w:r>
    </w:p>
    <w:tbl>
      <w:tblPr>
        <w:tblStyle w:val="TableGrid"/>
        <w:tblW w:type="auto" w:w="0"/>
        <w:tblLook w:firstColumn="1" w:firstRow="1" w:lastColumn="0" w:lastRow="0" w:noHBand="0" w:noVBand="1" w:val="04A0"/>
      </w:tblPr>
      <w:tblGrid>
        <w:gridCol w:w="9360"/>
      </w:tblGrid>
      <w:tr>
        <w:tc>
          <w:tcPr>
            <w:tcW w:type="dxa" w:w="9360"/>
            <w:shd w:fill="F7F8FA"/>
          </w:tcPr>
          <w:p>
            <w:pPr>
              <w:spacing w:after="0"/>
            </w:pPr>
            <w:r/>
            <w:r>
              <w:rPr>
                <w:rFonts w:ascii="Consolas" w:hAnsi="Consolas"/>
                <w:sz w:val="18"/>
              </w:rPr>
              <w:t>type Transaction interface {</w:t>
            </w:r>
          </w:p>
          <w:p>
            <w:pPr>
              <w:spacing w:after="0"/>
            </w:pPr>
            <w:r>
              <w:rPr>
                <w:rFonts w:ascii="Consolas" w:hAnsi="Consolas"/>
                <w:sz w:val="18"/>
              </w:rPr>
              <w:t xml:space="preserve">    GetType() string</w:t>
            </w:r>
          </w:p>
          <w:p>
            <w:pPr>
              <w:spacing w:after="0"/>
            </w:pPr>
            <w:r>
              <w:rPr>
                <w:rFonts w:ascii="Consolas" w:hAnsi="Consolas"/>
                <w:sz w:val="18"/>
              </w:rPr>
              <w:t xml:space="preserve">    GetCategory() string</w:t>
            </w:r>
          </w:p>
          <w:p>
            <w:pPr>
              <w:spacing w:after="0"/>
            </w:pPr>
            <w:r>
              <w:rPr>
                <w:rFonts w:ascii="Consolas" w:hAnsi="Consolas"/>
                <w:sz w:val="18"/>
              </w:rPr>
              <w:t xml:space="preserve">    GetDescription() string</w:t>
            </w:r>
          </w:p>
          <w:p>
            <w:pPr>
              <w:spacing w:after="0"/>
            </w:pPr>
            <w:r>
              <w:rPr>
                <w:rFonts w:ascii="Consolas" w:hAnsi="Consolas"/>
                <w:sz w:val="18"/>
              </w:rPr>
              <w:t xml:space="preserve">    GetAmount() float64</w:t>
            </w:r>
          </w:p>
          <w:p>
            <w:pPr>
              <w:spacing w:after="0"/>
            </w:pPr>
            <w:r>
              <w:rPr>
                <w:rFonts w:ascii="Consolas" w:hAnsi="Consolas"/>
                <w:sz w:val="18"/>
              </w:rPr>
              <w:t xml:space="preserve">    GetTenantID() string</w:t>
            </w:r>
          </w:p>
          <w:p>
            <w:pPr>
              <w:spacing w:after="0"/>
            </w:pPr>
            <w:r>
              <w:rPr>
                <w:rFonts w:ascii="Consolas" w:hAnsi="Consolas"/>
                <w:sz w:val="18"/>
              </w:rPr>
              <w:t xml:space="preserve">    Validate() error</w:t>
            </w:r>
          </w:p>
          <w:p>
            <w:pPr>
              <w:spacing w:after="0"/>
            </w:pPr>
            <w:r>
              <w:rPr>
                <w:rFonts w:ascii="Consolas" w:hAnsi="Consolas"/>
                <w:sz w:val="18"/>
              </w:rPr>
              <w:t>}</w:t>
            </w:r>
          </w:p>
          <w:p>
            <w:pPr>
              <w:spacing w:after="0"/>
            </w:pPr>
            <w:r>
              <w:rPr>
                <w:rFonts w:ascii="Consolas" w:hAnsi="Consolas"/>
                <w:sz w:val="18"/>
              </w:rPr>
            </w:r>
          </w:p>
          <w:p>
            <w:pPr>
              <w:spacing w:after="0"/>
            </w:pPr>
            <w:r>
              <w:rPr>
                <w:rFonts w:ascii="Consolas" w:hAnsi="Consolas"/>
                <w:sz w:val="18"/>
              </w:rPr>
              <w:t>type TransactionFactory struct{}</w:t>
            </w:r>
          </w:p>
          <w:p>
            <w:pPr>
              <w:spacing w:after="0"/>
            </w:pPr>
            <w:r>
              <w:rPr>
                <w:rFonts w:ascii="Consolas" w:hAnsi="Consolas"/>
                <w:sz w:val="18"/>
              </w:rPr>
            </w:r>
          </w:p>
          <w:p>
            <w:pPr>
              <w:spacing w:after="0"/>
            </w:pPr>
            <w:r>
              <w:rPr>
                <w:rFonts w:ascii="Consolas" w:hAnsi="Consolas"/>
                <w:sz w:val="18"/>
              </w:rPr>
              <w:t>func (f *TransactionFactory) Create(</w:t>
            </w:r>
          </w:p>
          <w:p>
            <w:pPr>
              <w:spacing w:after="0"/>
            </w:pPr>
            <w:r>
              <w:rPr>
                <w:rFonts w:ascii="Consolas" w:hAnsi="Consolas"/>
                <w:sz w:val="18"/>
              </w:rPr>
              <w:t xml:space="preserve">    txType, category, description, tenantID string,</w:t>
            </w:r>
          </w:p>
          <w:p>
            <w:pPr>
              <w:spacing w:after="0"/>
            </w:pPr>
            <w:r>
              <w:rPr>
                <w:rFonts w:ascii="Consolas" w:hAnsi="Consolas"/>
                <w:sz w:val="18"/>
              </w:rPr>
              <w:t xml:space="preserve">    amount float64,</w:t>
            </w:r>
          </w:p>
          <w:p>
            <w:pPr>
              <w:spacing w:after="0"/>
            </w:pPr>
            <w:r>
              <w:rPr>
                <w:rFonts w:ascii="Consolas" w:hAnsi="Consolas"/>
                <w:sz w:val="18"/>
              </w:rPr>
              <w:t>) (Transaction, error) {</w:t>
            </w:r>
          </w:p>
          <w:p>
            <w:pPr>
              <w:spacing w:after="0"/>
            </w:pPr>
            <w:r>
              <w:rPr>
                <w:rFonts w:ascii="Consolas" w:hAnsi="Consolas"/>
                <w:sz w:val="18"/>
              </w:rPr>
              <w:t xml:space="preserve">    switch txType {</w:t>
            </w:r>
          </w:p>
          <w:p>
            <w:pPr>
              <w:spacing w:after="0"/>
            </w:pPr>
            <w:r>
              <w:rPr>
                <w:rFonts w:ascii="Consolas" w:hAnsi="Consolas"/>
                <w:sz w:val="18"/>
              </w:rPr>
              <w:t xml:space="preserve">    case "income":</w:t>
            </w:r>
          </w:p>
          <w:p>
            <w:pPr>
              <w:spacing w:after="0"/>
            </w:pPr>
            <w:r>
              <w:rPr>
                <w:rFonts w:ascii="Consolas" w:hAnsi="Consolas"/>
                <w:sz w:val="18"/>
              </w:rPr>
              <w:t xml:space="preserve">        return &amp;IncomeTransaction{Amount: amount, Category: category, Description: description, TenantID: tenantID}, nil</w:t>
            </w:r>
          </w:p>
          <w:p>
            <w:pPr>
              <w:spacing w:after="0"/>
            </w:pPr>
            <w:r>
              <w:rPr>
                <w:rFonts w:ascii="Consolas" w:hAnsi="Consolas"/>
                <w:sz w:val="18"/>
              </w:rPr>
              <w:t xml:space="preserve">    case "expense":</w:t>
            </w:r>
          </w:p>
          <w:p>
            <w:pPr>
              <w:spacing w:after="0"/>
            </w:pPr>
            <w:r>
              <w:rPr>
                <w:rFonts w:ascii="Consolas" w:hAnsi="Consolas"/>
                <w:sz w:val="18"/>
              </w:rPr>
              <w:t xml:space="preserve">        return &amp;ExpenseTransaction{Amount: amount, Category: category, Description: description, TenantID: tenantID}, nil</w:t>
            </w:r>
          </w:p>
          <w:p>
            <w:pPr>
              <w:spacing w:after="0"/>
            </w:pPr>
            <w:r>
              <w:rPr>
                <w:rFonts w:ascii="Consolas" w:hAnsi="Consolas"/>
                <w:sz w:val="18"/>
              </w:rPr>
              <w:t xml:space="preserve">    default:</w:t>
            </w:r>
          </w:p>
          <w:p>
            <w:pPr>
              <w:spacing w:after="0"/>
            </w:pPr>
            <w:r>
              <w:rPr>
                <w:rFonts w:ascii="Consolas" w:hAnsi="Consolas"/>
                <w:sz w:val="18"/>
              </w:rPr>
              <w:t xml:space="preserve">        return nil, fmt.Errorf("tipe transaksi '%s' tidak dikenal", txType)</w:t>
            </w:r>
          </w:p>
          <w:p>
            <w:pPr>
              <w:spacing w:after="0"/>
            </w:pPr>
            <w:r>
              <w:rPr>
                <w:rFonts w:ascii="Consolas" w:hAnsi="Consolas"/>
                <w:sz w:val="18"/>
              </w:rPr>
              <w:t xml:space="preserve">    }</w:t>
            </w:r>
          </w:p>
          <w:p>
            <w:pPr>
              <w:spacing w:after="0"/>
            </w:pPr>
            <w:r>
              <w:rPr>
                <w:rFonts w:ascii="Consolas" w:hAnsi="Consolas"/>
                <w:sz w:val="18"/>
              </w:rPr>
              <w:t>}</w:t>
            </w:r>
          </w:p>
        </w:tc>
      </w:tr>
    </w:tbl>
    <w:p/>
    <w:p>
      <w:pPr>
        <w:pStyle w:val="Heading2"/>
      </w:pPr>
      <w:r>
        <w:t>2.3 Validasi pada Product Transaksi</w:t>
      </w:r>
    </w:p>
    <w:p>
      <w:r>
        <w:t>Setiap product transaksi memiliki method Validate. Validasi ini memastikan amount lebih dari nol, category tidak kosong, dan tenant_id tersedia. Dengan cara ini, aturan dasar transaksi berada dekat dengan objek domain yang dibuat oleh factory.</w:t>
      </w:r>
    </w:p>
    <w:tbl>
      <w:tblPr>
        <w:tblStyle w:val="TableGrid"/>
        <w:tblW w:type="auto" w:w="0"/>
        <w:tblLayout w:type="fixed"/>
        <w:tblLook w:firstColumn="1" w:firstRow="1" w:lastColumn="0" w:lastRow="0" w:noHBand="0" w:noVBand="1" w:val="04A0"/>
      </w:tblPr>
      <w:tblGrid>
        <w:gridCol w:w="3024"/>
        <w:gridCol w:w="6336"/>
      </w:tblGrid>
      <w:tr>
        <w:tc>
          <w:tcPr>
            <w:tcW w:type="dxa" w:w="4680"/>
            <w:vAlign w:val="center"/>
            <w:shd w:fill="F2F4F7"/>
          </w:tcPr>
          <w:p>
            <w:pPr>
              <w:spacing w:after="0"/>
            </w:pPr>
            <w:r/>
            <w:r>
              <w:rPr>
                <w:rFonts w:ascii="Calibri" w:hAnsi="Calibri"/>
                <w:b/>
                <w:sz w:val="20"/>
              </w:rPr>
              <w:t>Validasi</w:t>
            </w:r>
          </w:p>
        </w:tc>
        <w:tc>
          <w:tcPr>
            <w:tcW w:type="dxa" w:w="4680"/>
            <w:vAlign w:val="center"/>
            <w:shd w:fill="F2F4F7"/>
          </w:tcPr>
          <w:p>
            <w:pPr>
              <w:spacing w:after="0"/>
            </w:pPr>
            <w:r/>
            <w:r>
              <w:rPr>
                <w:rFonts w:ascii="Calibri" w:hAnsi="Calibri"/>
                <w:b/>
                <w:sz w:val="20"/>
              </w:rPr>
              <w:t>Tujuan</w:t>
            </w:r>
          </w:p>
        </w:tc>
      </w:tr>
      <w:tr>
        <w:tc>
          <w:tcPr>
            <w:tcW w:type="dxa" w:w="3024"/>
            <w:vAlign w:val="center"/>
          </w:tcPr>
          <w:p>
            <w:pPr>
              <w:spacing w:after="0"/>
            </w:pPr>
            <w:r/>
            <w:r>
              <w:rPr>
                <w:rFonts w:ascii="Calibri" w:hAnsi="Calibri"/>
                <w:b w:val="0"/>
                <w:sz w:val="20"/>
              </w:rPr>
              <w:t>amount &gt; 0</w:t>
            </w:r>
          </w:p>
        </w:tc>
        <w:tc>
          <w:tcPr>
            <w:tcW w:type="dxa" w:w="6336"/>
            <w:vAlign w:val="center"/>
          </w:tcPr>
          <w:p>
            <w:pPr>
              <w:spacing w:after="0"/>
            </w:pPr>
            <w:r/>
            <w:r>
              <w:rPr>
                <w:rFonts w:ascii="Calibri" w:hAnsi="Calibri"/>
                <w:b w:val="0"/>
                <w:sz w:val="20"/>
              </w:rPr>
              <w:t>Mencegah transaksi dengan nominal kosong, nol, atau negatif.</w:t>
            </w:r>
          </w:p>
        </w:tc>
      </w:tr>
      <w:tr>
        <w:tc>
          <w:tcPr>
            <w:tcW w:type="dxa" w:w="3024"/>
            <w:vAlign w:val="center"/>
          </w:tcPr>
          <w:p>
            <w:pPr>
              <w:spacing w:after="0"/>
            </w:pPr>
            <w:r/>
            <w:r>
              <w:rPr>
                <w:rFonts w:ascii="Calibri" w:hAnsi="Calibri"/>
                <w:b w:val="0"/>
                <w:sz w:val="20"/>
              </w:rPr>
              <w:t>category tidak kosong</w:t>
            </w:r>
          </w:p>
        </w:tc>
        <w:tc>
          <w:tcPr>
            <w:tcW w:type="dxa" w:w="6336"/>
            <w:vAlign w:val="center"/>
          </w:tcPr>
          <w:p>
            <w:pPr>
              <w:spacing w:after="0"/>
            </w:pPr>
            <w:r/>
            <w:r>
              <w:rPr>
                <w:rFonts w:ascii="Calibri" w:hAnsi="Calibri"/>
                <w:b w:val="0"/>
                <w:sz w:val="20"/>
              </w:rPr>
              <w:t>Memastikan transaksi memiliki kategori keuangan.</w:t>
            </w:r>
          </w:p>
        </w:tc>
      </w:tr>
      <w:tr>
        <w:tc>
          <w:tcPr>
            <w:tcW w:type="dxa" w:w="3024"/>
            <w:vAlign w:val="center"/>
          </w:tcPr>
          <w:p>
            <w:pPr>
              <w:spacing w:after="0"/>
            </w:pPr>
            <w:r/>
            <w:r>
              <w:rPr>
                <w:rFonts w:ascii="Calibri" w:hAnsi="Calibri"/>
                <w:b w:val="0"/>
                <w:sz w:val="20"/>
              </w:rPr>
              <w:t>tenant_id tidak kosong</w:t>
            </w:r>
          </w:p>
        </w:tc>
        <w:tc>
          <w:tcPr>
            <w:tcW w:type="dxa" w:w="6336"/>
            <w:vAlign w:val="center"/>
          </w:tcPr>
          <w:p>
            <w:pPr>
              <w:spacing w:after="0"/>
            </w:pPr>
            <w:r/>
            <w:r>
              <w:rPr>
                <w:rFonts w:ascii="Calibri" w:hAnsi="Calibri"/>
                <w:b w:val="0"/>
                <w:sz w:val="20"/>
              </w:rPr>
              <w:t>Menjaga data tetap terikat pada tenant atau pemilik usaha yang benar.</w:t>
            </w:r>
          </w:p>
        </w:tc>
      </w:tr>
    </w:tbl>
    <w:p/>
    <w:p>
      <w:pPr>
        <w:pStyle w:val="Heading2"/>
      </w:pPr>
      <w:r>
        <w:t>2.4 ReportFactory</w:t>
      </w:r>
    </w:p>
    <w:p>
      <w:r>
        <w:t>Selain transaksi, backend juga menerapkan Factory Pattern untuk laporan. ReportFactory memilih object DailyReport, WeeklyReport, atau MonthlyReport berdasarkan query parameter period pada endpoint /api/reports.</w:t>
      </w:r>
    </w:p>
    <w:p>
      <w:pPr>
        <w:spacing w:before="80" w:after="60"/>
      </w:pPr>
      <w:r>
        <w:rPr>
          <w:b/>
          <w:sz w:val="20"/>
        </w:rPr>
        <w:t>Kode 2. ReportFactory memilih jenis laporan</w:t>
      </w:r>
    </w:p>
    <w:tbl>
      <w:tblPr>
        <w:tblStyle w:val="TableGrid"/>
        <w:tblW w:type="auto" w:w="0"/>
        <w:tblLook w:firstColumn="1" w:firstRow="1" w:lastColumn="0" w:lastRow="0" w:noHBand="0" w:noVBand="1" w:val="04A0"/>
      </w:tblPr>
      <w:tblGrid>
        <w:gridCol w:w="9360"/>
      </w:tblGrid>
      <w:tr>
        <w:tc>
          <w:tcPr>
            <w:tcW w:type="dxa" w:w="9360"/>
            <w:shd w:fill="F7F8FA"/>
          </w:tcPr>
          <w:p>
            <w:pPr>
              <w:spacing w:after="0"/>
            </w:pPr>
            <w:r/>
            <w:r>
              <w:rPr>
                <w:rFonts w:ascii="Consolas" w:hAnsi="Consolas"/>
                <w:sz w:val="18"/>
              </w:rPr>
              <w:t>type ReportFactory struct{}</w:t>
            </w:r>
          </w:p>
          <w:p>
            <w:pPr>
              <w:spacing w:after="0"/>
            </w:pPr>
            <w:r>
              <w:rPr>
                <w:rFonts w:ascii="Consolas" w:hAnsi="Consolas"/>
                <w:sz w:val="18"/>
              </w:rPr>
            </w:r>
          </w:p>
          <w:p>
            <w:pPr>
              <w:spacing w:after="0"/>
            </w:pPr>
            <w:r>
              <w:rPr>
                <w:rFonts w:ascii="Consolas" w:hAnsi="Consolas"/>
                <w:sz w:val="18"/>
              </w:rPr>
              <w:t>func (f *ReportFactory) Create(period string) (Report, error) {</w:t>
            </w:r>
          </w:p>
          <w:p>
            <w:pPr>
              <w:spacing w:after="0"/>
            </w:pPr>
            <w:r>
              <w:rPr>
                <w:rFonts w:ascii="Consolas" w:hAnsi="Consolas"/>
                <w:sz w:val="18"/>
              </w:rPr>
              <w:t xml:space="preserve">    switch period {</w:t>
            </w:r>
          </w:p>
          <w:p>
            <w:pPr>
              <w:spacing w:after="0"/>
            </w:pPr>
            <w:r>
              <w:rPr>
                <w:rFonts w:ascii="Consolas" w:hAnsi="Consolas"/>
                <w:sz w:val="18"/>
              </w:rPr>
              <w:t xml:space="preserve">    case "daily":</w:t>
            </w:r>
          </w:p>
          <w:p>
            <w:pPr>
              <w:spacing w:after="0"/>
            </w:pPr>
            <w:r>
              <w:rPr>
                <w:rFonts w:ascii="Consolas" w:hAnsi="Consolas"/>
                <w:sz w:val="18"/>
              </w:rPr>
              <w:t xml:space="preserve">        return &amp;DailyReport{}, nil</w:t>
            </w:r>
          </w:p>
          <w:p>
            <w:pPr>
              <w:spacing w:after="0"/>
            </w:pPr>
            <w:r>
              <w:rPr>
                <w:rFonts w:ascii="Consolas" w:hAnsi="Consolas"/>
                <w:sz w:val="18"/>
              </w:rPr>
              <w:t xml:space="preserve">    case "weekly":</w:t>
            </w:r>
          </w:p>
          <w:p>
            <w:pPr>
              <w:spacing w:after="0"/>
            </w:pPr>
            <w:r>
              <w:rPr>
                <w:rFonts w:ascii="Consolas" w:hAnsi="Consolas"/>
                <w:sz w:val="18"/>
              </w:rPr>
              <w:t xml:space="preserve">        return &amp;WeeklyReport{}, nil</w:t>
            </w:r>
          </w:p>
          <w:p>
            <w:pPr>
              <w:spacing w:after="0"/>
            </w:pPr>
            <w:r>
              <w:rPr>
                <w:rFonts w:ascii="Consolas" w:hAnsi="Consolas"/>
                <w:sz w:val="18"/>
              </w:rPr>
              <w:t xml:space="preserve">    case "monthly":</w:t>
            </w:r>
          </w:p>
          <w:p>
            <w:pPr>
              <w:spacing w:after="0"/>
            </w:pPr>
            <w:r>
              <w:rPr>
                <w:rFonts w:ascii="Consolas" w:hAnsi="Consolas"/>
                <w:sz w:val="18"/>
              </w:rPr>
              <w:t xml:space="preserve">        return &amp;MonthlyReport{}, nil</w:t>
            </w:r>
          </w:p>
          <w:p>
            <w:pPr>
              <w:spacing w:after="0"/>
            </w:pPr>
            <w:r>
              <w:rPr>
                <w:rFonts w:ascii="Consolas" w:hAnsi="Consolas"/>
                <w:sz w:val="18"/>
              </w:rPr>
              <w:t xml:space="preserve">    default:</w:t>
            </w:r>
          </w:p>
          <w:p>
            <w:pPr>
              <w:spacing w:after="0"/>
            </w:pPr>
            <w:r>
              <w:rPr>
                <w:rFonts w:ascii="Consolas" w:hAnsi="Consolas"/>
                <w:sz w:val="18"/>
              </w:rPr>
              <w:t xml:space="preserve">        return nil, fmt.Errorf("periode '%s' tidak valid (daily/weekly/monthly)", period)</w:t>
            </w:r>
          </w:p>
          <w:p>
            <w:pPr>
              <w:spacing w:after="0"/>
            </w:pPr>
            <w:r>
              <w:rPr>
                <w:rFonts w:ascii="Consolas" w:hAnsi="Consolas"/>
                <w:sz w:val="18"/>
              </w:rPr>
              <w:t xml:space="preserve">    }</w:t>
            </w:r>
          </w:p>
          <w:p>
            <w:pPr>
              <w:spacing w:after="0"/>
            </w:pPr>
            <w:r>
              <w:rPr>
                <w:rFonts w:ascii="Consolas" w:hAnsi="Consolas"/>
                <w:sz w:val="18"/>
              </w:rPr>
              <w:t>}</w:t>
            </w:r>
          </w:p>
        </w:tc>
      </w:tr>
    </w:tbl>
    <w:p/>
    <w:p>
      <w:r>
        <w:t>Penggunaan ReportFactory membuat ReportHandler cukup meminta jenis laporan yang sesuai tanpa menaruh banyak percabangan langsung di handler.</w:t>
      </w:r>
    </w:p>
    <w:p>
      <w:pPr>
        <w:pStyle w:val="Heading2"/>
      </w:pPr>
      <w:r>
        <w:t>2.5 Penggunaan Factory di Service dan Handler</w:t>
      </w:r>
    </w:p>
    <w:p>
      <w:r>
        <w:t>TransactionService menggunakan TransactionFactory pada awal proses create. Setelah product dibuat, service menjalankan validasi, menyusun models.Transaction, lalu menyimpan data ke database.</w:t>
      </w:r>
    </w:p>
    <w:p>
      <w:pPr>
        <w:spacing w:before="80" w:after="60"/>
      </w:pPr>
      <w:r>
        <w:rPr>
          <w:b/>
          <w:sz w:val="20"/>
        </w:rPr>
        <w:t>Kode 3. Factory digunakan di TransactionService</w:t>
      </w:r>
    </w:p>
    <w:tbl>
      <w:tblPr>
        <w:tblStyle w:val="TableGrid"/>
        <w:tblW w:type="auto" w:w="0"/>
        <w:tblLook w:firstColumn="1" w:firstRow="1" w:lastColumn="0" w:lastRow="0" w:noHBand="0" w:noVBand="1" w:val="04A0"/>
      </w:tblPr>
      <w:tblGrid>
        <w:gridCol w:w="9360"/>
      </w:tblGrid>
      <w:tr>
        <w:tc>
          <w:tcPr>
            <w:tcW w:type="dxa" w:w="9360"/>
            <w:shd w:fill="F7F8FA"/>
          </w:tcPr>
          <w:p>
            <w:pPr>
              <w:spacing w:after="0"/>
            </w:pPr>
            <w:r/>
            <w:r>
              <w:rPr>
                <w:rFonts w:ascii="Consolas" w:hAnsi="Consolas"/>
                <w:sz w:val="18"/>
              </w:rPr>
              <w:t>tx, err := s.factory.Create(txType, category, description, tenantID, amount)</w:t>
            </w:r>
          </w:p>
          <w:p>
            <w:pPr>
              <w:spacing w:after="0"/>
            </w:pPr>
            <w:r>
              <w:rPr>
                <w:rFonts w:ascii="Consolas" w:hAnsi="Consolas"/>
                <w:sz w:val="18"/>
              </w:rPr>
              <w:t>if err != nil {</w:t>
            </w:r>
          </w:p>
          <w:p>
            <w:pPr>
              <w:spacing w:after="0"/>
            </w:pPr>
            <w:r>
              <w:rPr>
                <w:rFonts w:ascii="Consolas" w:hAnsi="Consolas"/>
                <w:sz w:val="18"/>
              </w:rPr>
              <w:t xml:space="preserve">    return nil, fmt.Errorf("factory error: %w", err)</w:t>
            </w:r>
          </w:p>
          <w:p>
            <w:pPr>
              <w:spacing w:after="0"/>
            </w:pPr>
            <w:r>
              <w:rPr>
                <w:rFonts w:ascii="Consolas" w:hAnsi="Consolas"/>
                <w:sz w:val="18"/>
              </w:rPr>
              <w:t>}</w:t>
            </w:r>
          </w:p>
          <w:p>
            <w:pPr>
              <w:spacing w:after="0"/>
            </w:pPr>
            <w:r>
              <w:rPr>
                <w:rFonts w:ascii="Consolas" w:hAnsi="Consolas"/>
                <w:sz w:val="18"/>
              </w:rPr>
            </w:r>
          </w:p>
          <w:p>
            <w:pPr>
              <w:spacing w:after="0"/>
            </w:pPr>
            <w:r>
              <w:rPr>
                <w:rFonts w:ascii="Consolas" w:hAnsi="Consolas"/>
                <w:sz w:val="18"/>
              </w:rPr>
              <w:t>if err := tx.Validate(); err != nil {</w:t>
            </w:r>
          </w:p>
          <w:p>
            <w:pPr>
              <w:spacing w:after="0"/>
            </w:pPr>
            <w:r>
              <w:rPr>
                <w:rFonts w:ascii="Consolas" w:hAnsi="Consolas"/>
                <w:sz w:val="18"/>
              </w:rPr>
              <w:t xml:space="preserve">    return nil, fmt.Errorf("validasi gagal: %w", err)</w:t>
            </w:r>
          </w:p>
          <w:p>
            <w:pPr>
              <w:spacing w:after="0"/>
            </w:pPr>
            <w:r>
              <w:rPr>
                <w:rFonts w:ascii="Consolas" w:hAnsi="Consolas"/>
                <w:sz w:val="18"/>
              </w:rPr>
              <w:t>}</w:t>
            </w:r>
          </w:p>
        </w:tc>
      </w:tr>
    </w:tbl>
    <w:p/>
    <w:p>
      <w:r>
        <w:t>Pada endpoint laporan, ReportHandler menggunakan ReportFactory untuk memilih algoritma laporan berdasarkan period.</w:t>
      </w:r>
    </w:p>
    <w:p>
      <w:pPr>
        <w:pStyle w:val="Heading1"/>
      </w:pPr>
      <w:r>
        <w:t>3. Observer Pattern pada Backend</w:t>
      </w:r>
    </w:p>
    <w:p>
      <w:pPr>
        <w:pStyle w:val="Heading2"/>
      </w:pPr>
      <w:r>
        <w:t>3.1 Konsep Dasar Observer Pattern</w:t>
      </w:r>
    </w:p>
    <w:p>
      <w:r>
        <w:t>Observer Pattern memungkinkan satu subject atau publisher memberi tahu banyak observer ketika sebuah event terjadi. Pada backend, event yang diamati adalah transaksi berhasil disimpan. Setelah event dipublish, beberapa proses tambahan dijalankan tanpa membuat TransactionService mengetahui detail masing-masing proses.</w:t>
      </w:r>
    </w:p>
    <w:p>
      <w:pPr>
        <w:pStyle w:val="Heading2"/>
      </w:pPr>
      <w:r>
        <w:t>3.2 Struktur Observer</w:t>
      </w:r>
    </w:p>
    <w:p>
      <w:r>
        <w:t>Implementasi Observer Pattern berada di backend/internal/patterns/observer.go. Komponen utamanya adalah TransactionEvent, TransactionObserver, dan TransactionEventBus.</w:t>
      </w:r>
    </w:p>
    <w:tbl>
      <w:tblPr>
        <w:tblStyle w:val="TableGrid"/>
        <w:tblW w:type="auto" w:w="0"/>
        <w:tblLayout w:type="fixed"/>
        <w:tblLook w:firstColumn="1" w:firstRow="1" w:lastColumn="0" w:lastRow="0" w:noHBand="0" w:noVBand="1" w:val="04A0"/>
      </w:tblPr>
      <w:tblGrid>
        <w:gridCol w:w="3024"/>
        <w:gridCol w:w="6336"/>
      </w:tblGrid>
      <w:tr>
        <w:tc>
          <w:tcPr>
            <w:tcW w:type="dxa" w:w="4680"/>
            <w:vAlign w:val="center"/>
            <w:shd w:fill="F2F4F7"/>
          </w:tcPr>
          <w:p>
            <w:pPr>
              <w:spacing w:after="0"/>
            </w:pPr>
            <w:r/>
            <w:r>
              <w:rPr>
                <w:rFonts w:ascii="Calibri" w:hAnsi="Calibri"/>
                <w:b/>
                <w:sz w:val="20"/>
              </w:rPr>
              <w:t>Komponen</w:t>
            </w:r>
          </w:p>
        </w:tc>
        <w:tc>
          <w:tcPr>
            <w:tcW w:type="dxa" w:w="4680"/>
            <w:vAlign w:val="center"/>
            <w:shd w:fill="F2F4F7"/>
          </w:tcPr>
          <w:p>
            <w:pPr>
              <w:spacing w:after="0"/>
            </w:pPr>
            <w:r/>
            <w:r>
              <w:rPr>
                <w:rFonts w:ascii="Calibri" w:hAnsi="Calibri"/>
                <w:b/>
                <w:sz w:val="20"/>
              </w:rPr>
              <w:t>Peran</w:t>
            </w:r>
          </w:p>
        </w:tc>
      </w:tr>
      <w:tr>
        <w:tc>
          <w:tcPr>
            <w:tcW w:type="dxa" w:w="3024"/>
            <w:vAlign w:val="center"/>
          </w:tcPr>
          <w:p>
            <w:pPr>
              <w:spacing w:after="0"/>
            </w:pPr>
            <w:r/>
            <w:r>
              <w:rPr>
                <w:rFonts w:ascii="Calibri" w:hAnsi="Calibri"/>
                <w:b w:val="0"/>
                <w:sz w:val="20"/>
              </w:rPr>
              <w:t>TransactionEvent</w:t>
            </w:r>
          </w:p>
        </w:tc>
        <w:tc>
          <w:tcPr>
            <w:tcW w:type="dxa" w:w="6336"/>
            <w:vAlign w:val="center"/>
          </w:tcPr>
          <w:p>
            <w:pPr>
              <w:spacing w:after="0"/>
            </w:pPr>
            <w:r/>
            <w:r>
              <w:rPr>
                <w:rFonts w:ascii="Calibri" w:hAnsi="Calibri"/>
                <w:b w:val="0"/>
                <w:sz w:val="20"/>
              </w:rPr>
              <w:t>Data event yang berisi tenant, tipe, amount, category, description, dan waktu transaksi.</w:t>
            </w:r>
          </w:p>
        </w:tc>
      </w:tr>
      <w:tr>
        <w:tc>
          <w:tcPr>
            <w:tcW w:type="dxa" w:w="3024"/>
            <w:vAlign w:val="center"/>
          </w:tcPr>
          <w:p>
            <w:pPr>
              <w:spacing w:after="0"/>
            </w:pPr>
            <w:r/>
            <w:r>
              <w:rPr>
                <w:rFonts w:ascii="Calibri" w:hAnsi="Calibri"/>
                <w:b w:val="0"/>
                <w:sz w:val="20"/>
              </w:rPr>
              <w:t>TransactionObserver</w:t>
            </w:r>
          </w:p>
        </w:tc>
        <w:tc>
          <w:tcPr>
            <w:tcW w:type="dxa" w:w="6336"/>
            <w:vAlign w:val="center"/>
          </w:tcPr>
          <w:p>
            <w:pPr>
              <w:spacing w:after="0"/>
            </w:pPr>
            <w:r/>
            <w:r>
              <w:rPr>
                <w:rFonts w:ascii="Calibri" w:hAnsi="Calibri"/>
                <w:b w:val="0"/>
                <w:sz w:val="20"/>
              </w:rPr>
              <w:t>Interface observer dengan method OnTransaction dan Name.</w:t>
            </w:r>
          </w:p>
        </w:tc>
      </w:tr>
      <w:tr>
        <w:tc>
          <w:tcPr>
            <w:tcW w:type="dxa" w:w="3024"/>
            <w:vAlign w:val="center"/>
          </w:tcPr>
          <w:p>
            <w:pPr>
              <w:spacing w:after="0"/>
            </w:pPr>
            <w:r/>
            <w:r>
              <w:rPr>
                <w:rFonts w:ascii="Calibri" w:hAnsi="Calibri"/>
                <w:b w:val="0"/>
                <w:sz w:val="20"/>
              </w:rPr>
              <w:t>TransactionEventBus</w:t>
            </w:r>
          </w:p>
        </w:tc>
        <w:tc>
          <w:tcPr>
            <w:tcW w:type="dxa" w:w="6336"/>
            <w:vAlign w:val="center"/>
          </w:tcPr>
          <w:p>
            <w:pPr>
              <w:spacing w:after="0"/>
            </w:pPr>
            <w:r/>
            <w:r>
              <w:rPr>
                <w:rFonts w:ascii="Calibri" w:hAnsi="Calibri"/>
                <w:b w:val="0"/>
                <w:sz w:val="20"/>
              </w:rPr>
              <w:t>Subject atau publisher yang menyimpan daftar observer dan mempublish event.</w:t>
            </w:r>
          </w:p>
        </w:tc>
      </w:tr>
      <w:tr>
        <w:tc>
          <w:tcPr>
            <w:tcW w:type="dxa" w:w="3024"/>
            <w:vAlign w:val="center"/>
          </w:tcPr>
          <w:p>
            <w:pPr>
              <w:spacing w:after="0"/>
            </w:pPr>
            <w:r/>
            <w:r>
              <w:rPr>
                <w:rFonts w:ascii="Calibri" w:hAnsi="Calibri"/>
                <w:b w:val="0"/>
                <w:sz w:val="20"/>
              </w:rPr>
              <w:t>Subscribe</w:t>
            </w:r>
          </w:p>
        </w:tc>
        <w:tc>
          <w:tcPr>
            <w:tcW w:type="dxa" w:w="6336"/>
            <w:vAlign w:val="center"/>
          </w:tcPr>
          <w:p>
            <w:pPr>
              <w:spacing w:after="0"/>
            </w:pPr>
            <w:r/>
            <w:r>
              <w:rPr>
                <w:rFonts w:ascii="Calibri" w:hAnsi="Calibri"/>
                <w:b w:val="0"/>
                <w:sz w:val="20"/>
              </w:rPr>
              <w:t>Mendaftarkan observer baru ke EventBus.</w:t>
            </w:r>
          </w:p>
        </w:tc>
      </w:tr>
      <w:tr>
        <w:tc>
          <w:tcPr>
            <w:tcW w:type="dxa" w:w="3024"/>
            <w:vAlign w:val="center"/>
          </w:tcPr>
          <w:p>
            <w:pPr>
              <w:spacing w:after="0"/>
            </w:pPr>
            <w:r/>
            <w:r>
              <w:rPr>
                <w:rFonts w:ascii="Calibri" w:hAnsi="Calibri"/>
                <w:b w:val="0"/>
                <w:sz w:val="20"/>
              </w:rPr>
              <w:t>Publish</w:t>
            </w:r>
          </w:p>
        </w:tc>
        <w:tc>
          <w:tcPr>
            <w:tcW w:type="dxa" w:w="6336"/>
            <w:vAlign w:val="center"/>
          </w:tcPr>
          <w:p>
            <w:pPr>
              <w:spacing w:after="0"/>
            </w:pPr>
            <w:r/>
            <w:r>
              <w:rPr>
                <w:rFonts w:ascii="Calibri" w:hAnsi="Calibri"/>
                <w:b w:val="0"/>
                <w:sz w:val="20"/>
              </w:rPr>
              <w:t>Mengirim event ke seluruh observer secara asynchronous.</w:t>
            </w:r>
          </w:p>
        </w:tc>
      </w:tr>
    </w:tbl>
    <w:p/>
    <w:p>
      <w:pPr>
        <w:spacing w:before="80" w:after="60"/>
      </w:pPr>
      <w:r>
        <w:rPr>
          <w:b/>
          <w:sz w:val="20"/>
        </w:rPr>
        <w:t>Kode 4. Kontrak observer dan event bus</w:t>
      </w:r>
    </w:p>
    <w:tbl>
      <w:tblPr>
        <w:tblStyle w:val="TableGrid"/>
        <w:tblW w:type="auto" w:w="0"/>
        <w:tblLook w:firstColumn="1" w:firstRow="1" w:lastColumn="0" w:lastRow="0" w:noHBand="0" w:noVBand="1" w:val="04A0"/>
      </w:tblPr>
      <w:tblGrid>
        <w:gridCol w:w="9360"/>
      </w:tblGrid>
      <w:tr>
        <w:tc>
          <w:tcPr>
            <w:tcW w:type="dxa" w:w="9360"/>
            <w:shd w:fill="F7F8FA"/>
          </w:tcPr>
          <w:p>
            <w:pPr>
              <w:spacing w:after="0"/>
            </w:pPr>
            <w:r/>
            <w:r>
              <w:rPr>
                <w:rFonts w:ascii="Consolas" w:hAnsi="Consolas"/>
                <w:sz w:val="18"/>
              </w:rPr>
              <w:t>type TransactionObserver interface {</w:t>
            </w:r>
          </w:p>
          <w:p>
            <w:pPr>
              <w:spacing w:after="0"/>
            </w:pPr>
            <w:r>
              <w:rPr>
                <w:rFonts w:ascii="Consolas" w:hAnsi="Consolas"/>
                <w:sz w:val="18"/>
              </w:rPr>
              <w:t xml:space="preserve">    OnTransaction(event TransactionEvent)</w:t>
            </w:r>
          </w:p>
          <w:p>
            <w:pPr>
              <w:spacing w:after="0"/>
            </w:pPr>
            <w:r>
              <w:rPr>
                <w:rFonts w:ascii="Consolas" w:hAnsi="Consolas"/>
                <w:sz w:val="18"/>
              </w:rPr>
              <w:t xml:space="preserve">    Name() string</w:t>
            </w:r>
          </w:p>
          <w:p>
            <w:pPr>
              <w:spacing w:after="0"/>
            </w:pPr>
            <w:r>
              <w:rPr>
                <w:rFonts w:ascii="Consolas" w:hAnsi="Consolas"/>
                <w:sz w:val="18"/>
              </w:rPr>
              <w:t>}</w:t>
            </w:r>
          </w:p>
          <w:p>
            <w:pPr>
              <w:spacing w:after="0"/>
            </w:pPr>
            <w:r>
              <w:rPr>
                <w:rFonts w:ascii="Consolas" w:hAnsi="Consolas"/>
                <w:sz w:val="18"/>
              </w:rPr>
            </w:r>
          </w:p>
          <w:p>
            <w:pPr>
              <w:spacing w:after="0"/>
            </w:pPr>
            <w:r>
              <w:rPr>
                <w:rFonts w:ascii="Consolas" w:hAnsi="Consolas"/>
                <w:sz w:val="18"/>
              </w:rPr>
              <w:t>type TransactionEventBus struct {</w:t>
            </w:r>
          </w:p>
          <w:p>
            <w:pPr>
              <w:spacing w:after="0"/>
            </w:pPr>
            <w:r>
              <w:rPr>
                <w:rFonts w:ascii="Consolas" w:hAnsi="Consolas"/>
                <w:sz w:val="18"/>
              </w:rPr>
              <w:t xml:space="preserve">    observers []TransactionObserver</w:t>
            </w:r>
          </w:p>
          <w:p>
            <w:pPr>
              <w:spacing w:after="0"/>
            </w:pPr>
            <w:r>
              <w:rPr>
                <w:rFonts w:ascii="Consolas" w:hAnsi="Consolas"/>
                <w:sz w:val="18"/>
              </w:rPr>
              <w:t xml:space="preserve">    mu        sync.RWMutex</w:t>
            </w:r>
          </w:p>
          <w:p>
            <w:pPr>
              <w:spacing w:after="0"/>
            </w:pPr>
            <w:r>
              <w:rPr>
                <w:rFonts w:ascii="Consolas" w:hAnsi="Consolas"/>
                <w:sz w:val="18"/>
              </w:rPr>
              <w:t>}</w:t>
            </w:r>
          </w:p>
        </w:tc>
      </w:tr>
    </w:tbl>
    <w:p/>
    <w:p>
      <w:pPr>
        <w:pStyle w:val="Heading2"/>
      </w:pPr>
      <w:r>
        <w:t>3.3 Observer Default</w:t>
      </w:r>
    </w:p>
    <w:p>
      <w:r>
        <w:t>Saat backend start, NewTransactionEventBus mendaftarkan tiga observer default. Masing-masing observer memiliki tanggung jawab yang berbeda sehingga efek samping transaksi tidak ditumpuk langsung pada TransactionService.</w:t>
      </w:r>
    </w:p>
    <w:tbl>
      <w:tblPr>
        <w:tblStyle w:val="TableGrid"/>
        <w:tblW w:type="auto" w:w="0"/>
        <w:tblLayout w:type="fixed"/>
        <w:tblLook w:firstColumn="1" w:firstRow="1" w:lastColumn="0" w:lastRow="0" w:noHBand="0" w:noVBand="1" w:val="04A0"/>
      </w:tblPr>
      <w:tblGrid>
        <w:gridCol w:w="2880"/>
        <w:gridCol w:w="6480"/>
      </w:tblGrid>
      <w:tr>
        <w:tc>
          <w:tcPr>
            <w:tcW w:type="dxa" w:w="4680"/>
            <w:vAlign w:val="center"/>
            <w:shd w:fill="F2F4F7"/>
          </w:tcPr>
          <w:p>
            <w:pPr>
              <w:spacing w:after="0"/>
            </w:pPr>
            <w:r/>
            <w:r>
              <w:rPr>
                <w:rFonts w:ascii="Calibri" w:hAnsi="Calibri"/>
                <w:b/>
                <w:sz w:val="20"/>
              </w:rPr>
              <w:t>Observer</w:t>
            </w:r>
          </w:p>
        </w:tc>
        <w:tc>
          <w:tcPr>
            <w:tcW w:type="dxa" w:w="4680"/>
            <w:vAlign w:val="center"/>
            <w:shd w:fill="F2F4F7"/>
          </w:tcPr>
          <w:p>
            <w:pPr>
              <w:spacing w:after="0"/>
            </w:pPr>
            <w:r/>
            <w:r>
              <w:rPr>
                <w:rFonts w:ascii="Calibri" w:hAnsi="Calibri"/>
                <w:b/>
                <w:sz w:val="20"/>
              </w:rPr>
              <w:t>Tanggung Jawab</w:t>
            </w:r>
          </w:p>
        </w:tc>
      </w:tr>
      <w:tr>
        <w:tc>
          <w:tcPr>
            <w:tcW w:type="dxa" w:w="2880"/>
            <w:vAlign w:val="center"/>
          </w:tcPr>
          <w:p>
            <w:pPr>
              <w:spacing w:after="0"/>
            </w:pPr>
            <w:r/>
            <w:r>
              <w:rPr>
                <w:rFonts w:ascii="Calibri" w:hAnsi="Calibri"/>
                <w:b w:val="0"/>
                <w:sz w:val="20"/>
              </w:rPr>
              <w:t>BudgetObserver</w:t>
            </w:r>
          </w:p>
        </w:tc>
        <w:tc>
          <w:tcPr>
            <w:tcW w:type="dxa" w:w="6480"/>
            <w:vAlign w:val="center"/>
          </w:tcPr>
          <w:p>
            <w:pPr>
              <w:spacing w:after="0"/>
            </w:pPr>
            <w:r/>
            <w:r>
              <w:rPr>
                <w:rFonts w:ascii="Calibri" w:hAnsi="Calibri"/>
                <w:b w:val="0"/>
                <w:sz w:val="20"/>
              </w:rPr>
              <w:t>Jika transaksi expense, memperbarui spent_amount pada budget sesuai kategori dan membuat warning jika limit terlampaui.</w:t>
            </w:r>
          </w:p>
        </w:tc>
      </w:tr>
      <w:tr>
        <w:tc>
          <w:tcPr>
            <w:tcW w:type="dxa" w:w="2880"/>
            <w:vAlign w:val="center"/>
          </w:tcPr>
          <w:p>
            <w:pPr>
              <w:spacing w:after="0"/>
            </w:pPr>
            <w:r/>
            <w:r>
              <w:rPr>
                <w:rFonts w:ascii="Calibri" w:hAnsi="Calibri"/>
                <w:b w:val="0"/>
                <w:sz w:val="20"/>
              </w:rPr>
              <w:t>NotificationObserver</w:t>
            </w:r>
          </w:p>
        </w:tc>
        <w:tc>
          <w:tcPr>
            <w:tcW w:type="dxa" w:w="6480"/>
            <w:vAlign w:val="center"/>
          </w:tcPr>
          <w:p>
            <w:pPr>
              <w:spacing w:after="0"/>
            </w:pPr>
            <w:r/>
            <w:r>
              <w:rPr>
                <w:rFonts w:ascii="Calibri" w:hAnsi="Calibri"/>
                <w:b w:val="0"/>
                <w:sz w:val="20"/>
              </w:rPr>
              <w:t>Membuat notifikasi info setiap kali transaksi baru dibuat.</w:t>
            </w:r>
          </w:p>
        </w:tc>
      </w:tr>
      <w:tr>
        <w:tc>
          <w:tcPr>
            <w:tcW w:type="dxa" w:w="2880"/>
            <w:vAlign w:val="center"/>
          </w:tcPr>
          <w:p>
            <w:pPr>
              <w:spacing w:after="0"/>
            </w:pPr>
            <w:r/>
            <w:r>
              <w:rPr>
                <w:rFonts w:ascii="Calibri" w:hAnsi="Calibri"/>
                <w:b w:val="0"/>
                <w:sz w:val="20"/>
              </w:rPr>
              <w:t>AuditObserver</w:t>
            </w:r>
          </w:p>
        </w:tc>
        <w:tc>
          <w:tcPr>
            <w:tcW w:type="dxa" w:w="6480"/>
            <w:vAlign w:val="center"/>
          </w:tcPr>
          <w:p>
            <w:pPr>
              <w:spacing w:after="0"/>
            </w:pPr>
            <w:r/>
            <w:r>
              <w:rPr>
                <w:rFonts w:ascii="Calibri" w:hAnsi="Calibri"/>
                <w:b w:val="0"/>
                <w:sz w:val="20"/>
              </w:rPr>
              <w:t>Mencatat audit trail transaksi ke stdout/log.</w:t>
            </w:r>
          </w:p>
        </w:tc>
      </w:tr>
    </w:tbl>
    <w:p/>
    <w:p>
      <w:pPr>
        <w:pStyle w:val="Heading2"/>
      </w:pPr>
      <w:r>
        <w:t>3.4 Publish Async dan Panic Recovery</w:t>
      </w:r>
    </w:p>
    <w:p>
      <w:r>
        <w:t>EventBus mempublish event ke observer menggunakan goroutine. Tujuannya adalah agar response API tidak harus menunggu semua observer selesai. Setiap observer juga dibungkus defer recover, sehingga panic pada satu observer tidak menjatuhkan observer lain.</w:t>
      </w:r>
    </w:p>
    <w:p>
      <w:pPr>
        <w:spacing w:before="80" w:after="60"/>
      </w:pPr>
      <w:r>
        <w:rPr>
          <w:b/>
          <w:sz w:val="20"/>
        </w:rPr>
        <w:t>Kode 5. Publish event ke observer secara async</w:t>
      </w:r>
    </w:p>
    <w:tbl>
      <w:tblPr>
        <w:tblStyle w:val="TableGrid"/>
        <w:tblW w:type="auto" w:w="0"/>
        <w:tblLook w:firstColumn="1" w:firstRow="1" w:lastColumn="0" w:lastRow="0" w:noHBand="0" w:noVBand="1" w:val="04A0"/>
      </w:tblPr>
      <w:tblGrid>
        <w:gridCol w:w="9360"/>
      </w:tblGrid>
      <w:tr>
        <w:tc>
          <w:tcPr>
            <w:tcW w:type="dxa" w:w="9360"/>
            <w:shd w:fill="F7F8FA"/>
          </w:tcPr>
          <w:p>
            <w:pPr>
              <w:spacing w:after="0"/>
            </w:pPr>
            <w:r/>
            <w:r>
              <w:rPr>
                <w:rFonts w:ascii="Consolas" w:hAnsi="Consolas"/>
                <w:sz w:val="18"/>
              </w:rPr>
              <w:t>func (eb *TransactionEventBus) Publish(event TransactionEvent) {</w:t>
            </w:r>
          </w:p>
          <w:p>
            <w:pPr>
              <w:spacing w:after="0"/>
            </w:pPr>
            <w:r>
              <w:rPr>
                <w:rFonts w:ascii="Consolas" w:hAnsi="Consolas"/>
                <w:sz w:val="18"/>
              </w:rPr>
              <w:t xml:space="preserve">    eb.mu.RLock()</w:t>
            </w:r>
          </w:p>
          <w:p>
            <w:pPr>
              <w:spacing w:after="0"/>
            </w:pPr>
            <w:r>
              <w:rPr>
                <w:rFonts w:ascii="Consolas" w:hAnsi="Consolas"/>
                <w:sz w:val="18"/>
              </w:rPr>
              <w:t xml:space="preserve">    observers := make([]TransactionObserver, len(eb.observers))</w:t>
            </w:r>
          </w:p>
          <w:p>
            <w:pPr>
              <w:spacing w:after="0"/>
            </w:pPr>
            <w:r>
              <w:rPr>
                <w:rFonts w:ascii="Consolas" w:hAnsi="Consolas"/>
                <w:sz w:val="18"/>
              </w:rPr>
              <w:t xml:space="preserve">    copy(observers, eb.observers)</w:t>
            </w:r>
          </w:p>
          <w:p>
            <w:pPr>
              <w:spacing w:after="0"/>
            </w:pPr>
            <w:r>
              <w:rPr>
                <w:rFonts w:ascii="Consolas" w:hAnsi="Consolas"/>
                <w:sz w:val="18"/>
              </w:rPr>
              <w:t xml:space="preserve">    eb.mu.RUnlock()</w:t>
            </w:r>
          </w:p>
          <w:p>
            <w:pPr>
              <w:spacing w:after="0"/>
            </w:pPr>
            <w:r>
              <w:rPr>
                <w:rFonts w:ascii="Consolas" w:hAnsi="Consolas"/>
                <w:sz w:val="18"/>
              </w:rPr>
            </w:r>
          </w:p>
          <w:p>
            <w:pPr>
              <w:spacing w:after="0"/>
            </w:pPr>
            <w:r>
              <w:rPr>
                <w:rFonts w:ascii="Consolas" w:hAnsi="Consolas"/>
                <w:sz w:val="18"/>
              </w:rPr>
              <w:t xml:space="preserve">    for _, obs := range observers {</w:t>
            </w:r>
          </w:p>
          <w:p>
            <w:pPr>
              <w:spacing w:after="0"/>
            </w:pPr>
            <w:r>
              <w:rPr>
                <w:rFonts w:ascii="Consolas" w:hAnsi="Consolas"/>
                <w:sz w:val="18"/>
              </w:rPr>
              <w:t xml:space="preserve">        obs := obs</w:t>
            </w:r>
          </w:p>
          <w:p>
            <w:pPr>
              <w:spacing w:after="0"/>
            </w:pPr>
            <w:r>
              <w:rPr>
                <w:rFonts w:ascii="Consolas" w:hAnsi="Consolas"/>
                <w:sz w:val="18"/>
              </w:rPr>
              <w:t xml:space="preserve">        go func() {</w:t>
            </w:r>
          </w:p>
          <w:p>
            <w:pPr>
              <w:spacing w:after="0"/>
            </w:pPr>
            <w:r>
              <w:rPr>
                <w:rFonts w:ascii="Consolas" w:hAnsi="Consolas"/>
                <w:sz w:val="18"/>
              </w:rPr>
              <w:t xml:space="preserve">            defer func() {</w:t>
            </w:r>
          </w:p>
          <w:p>
            <w:pPr>
              <w:spacing w:after="0"/>
            </w:pPr>
            <w:r>
              <w:rPr>
                <w:rFonts w:ascii="Consolas" w:hAnsi="Consolas"/>
                <w:sz w:val="18"/>
              </w:rPr>
              <w:t xml:space="preserve">                if r := recover(); r != nil {</w:t>
            </w:r>
          </w:p>
          <w:p>
            <w:pPr>
              <w:spacing w:after="0"/>
            </w:pPr>
            <w:r>
              <w:rPr>
                <w:rFonts w:ascii="Consolas" w:hAnsi="Consolas"/>
                <w:sz w:val="18"/>
              </w:rPr>
              <w:t xml:space="preserve">                    fmt.Printf("[EventBus] panic di %s: %v\n", obs.Name(), r)</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obs.OnTransaction(event)</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w:t>
            </w:r>
          </w:p>
        </w:tc>
      </w:tr>
    </w:tbl>
    <w:p/>
    <w:p>
      <w:pPr>
        <w:pStyle w:val="Heading2"/>
      </w:pPr>
      <w:r>
        <w:t>3.5 Penggunaan Observer di TransactionService</w:t>
      </w:r>
    </w:p>
    <w:p>
      <w:r>
        <w:t>Observer hanya dipicu setelah record transaksi berhasil disimpan ke database. Hal ini penting karena observer tidak boleh berjalan untuk transaksi yang gagal dibuat.</w:t>
      </w:r>
    </w:p>
    <w:p>
      <w:pPr>
        <w:spacing w:before="80" w:after="60"/>
      </w:pPr>
      <w:r>
        <w:rPr>
          <w:b/>
          <w:sz w:val="20"/>
        </w:rPr>
        <w:t>Kode 6. Publish TransactionEvent setelah database create berhasil</w:t>
      </w:r>
    </w:p>
    <w:tbl>
      <w:tblPr>
        <w:tblStyle w:val="TableGrid"/>
        <w:tblW w:type="auto" w:w="0"/>
        <w:tblLook w:firstColumn="1" w:firstRow="1" w:lastColumn="0" w:lastRow="0" w:noHBand="0" w:noVBand="1" w:val="04A0"/>
      </w:tblPr>
      <w:tblGrid>
        <w:gridCol w:w="9360"/>
      </w:tblGrid>
      <w:tr>
        <w:tc>
          <w:tcPr>
            <w:tcW w:type="dxa" w:w="9360"/>
            <w:shd w:fill="F7F8FA"/>
          </w:tcPr>
          <w:p>
            <w:pPr>
              <w:spacing w:after="0"/>
            </w:pPr>
            <w:r/>
            <w:r>
              <w:rPr>
                <w:rFonts w:ascii="Consolas" w:hAnsi="Consolas"/>
                <w:sz w:val="18"/>
              </w:rPr>
              <w:t>s.eventBus.Publish(patterns.TransactionEvent{</w:t>
            </w:r>
          </w:p>
          <w:p>
            <w:pPr>
              <w:spacing w:after="0"/>
            </w:pPr>
            <w:r>
              <w:rPr>
                <w:rFonts w:ascii="Consolas" w:hAnsi="Consolas"/>
                <w:sz w:val="18"/>
              </w:rPr>
              <w:t xml:space="preserve">    TenantID:    record.TenantID,</w:t>
            </w:r>
          </w:p>
          <w:p>
            <w:pPr>
              <w:spacing w:after="0"/>
            </w:pPr>
            <w:r>
              <w:rPr>
                <w:rFonts w:ascii="Consolas" w:hAnsi="Consolas"/>
                <w:sz w:val="18"/>
              </w:rPr>
              <w:t xml:space="preserve">    Type:        record.Type,</w:t>
            </w:r>
          </w:p>
          <w:p>
            <w:pPr>
              <w:spacing w:after="0"/>
            </w:pPr>
            <w:r>
              <w:rPr>
                <w:rFonts w:ascii="Consolas" w:hAnsi="Consolas"/>
                <w:sz w:val="18"/>
              </w:rPr>
              <w:t xml:space="preserve">    Amount:      record.Amount,</w:t>
            </w:r>
          </w:p>
          <w:p>
            <w:pPr>
              <w:spacing w:after="0"/>
            </w:pPr>
            <w:r>
              <w:rPr>
                <w:rFonts w:ascii="Consolas" w:hAnsi="Consolas"/>
                <w:sz w:val="18"/>
              </w:rPr>
              <w:t xml:space="preserve">    Category:    record.Category,</w:t>
            </w:r>
          </w:p>
          <w:p>
            <w:pPr>
              <w:spacing w:after="0"/>
            </w:pPr>
            <w:r>
              <w:rPr>
                <w:rFonts w:ascii="Consolas" w:hAnsi="Consolas"/>
                <w:sz w:val="18"/>
              </w:rPr>
              <w:t xml:space="preserve">    Description: record.Description,</w:t>
            </w:r>
          </w:p>
          <w:p>
            <w:pPr>
              <w:spacing w:after="0"/>
            </w:pPr>
            <w:r>
              <w:rPr>
                <w:rFonts w:ascii="Consolas" w:hAnsi="Consolas"/>
                <w:sz w:val="18"/>
              </w:rPr>
              <w:t xml:space="preserve">    CreatedAt:   record.CreatedAt,</w:t>
            </w:r>
          </w:p>
          <w:p>
            <w:pPr>
              <w:spacing w:after="0"/>
            </w:pPr>
            <w:r>
              <w:rPr>
                <w:rFonts w:ascii="Consolas" w:hAnsi="Consolas"/>
                <w:sz w:val="18"/>
              </w:rPr>
              <w:t>})</w:t>
            </w:r>
          </w:p>
        </w:tc>
      </w:tr>
    </w:tbl>
    <w:p/>
    <w:p>
      <w:pPr>
        <w:pStyle w:val="Heading1"/>
      </w:pPr>
      <w:r>
        <w:t>4. Hubungan Factory dan Observer</w:t>
      </w:r>
    </w:p>
    <w:p>
      <w:r>
        <w:t>Factory dan Observer bekerja pada fase yang berbeda. Factory bekerja sebelum data disimpan, sedangkan Observer bekerja setelah data berhasil disimpan. Keduanya membuat TransactionService tetap menjadi pengatur alur utama, bukan tempat semua detail pembuatan objek dan efek samping dikumpulkan.</w:t>
      </w:r>
    </w:p>
    <w:tbl>
      <w:tblPr>
        <w:tblStyle w:val="TableGrid"/>
        <w:tblW w:type="auto" w:w="0"/>
        <w:tblLayout w:type="fixed"/>
        <w:tblLook w:firstColumn="1" w:firstRow="1" w:lastColumn="0" w:lastRow="0" w:noHBand="0" w:noVBand="1" w:val="04A0"/>
      </w:tblPr>
      <w:tblGrid>
        <w:gridCol w:w="1728"/>
        <w:gridCol w:w="2304"/>
        <w:gridCol w:w="3456"/>
        <w:gridCol w:w="1872"/>
      </w:tblGrid>
      <w:tr>
        <w:tc>
          <w:tcPr>
            <w:tcW w:type="dxa" w:w="2340"/>
            <w:vAlign w:val="center"/>
            <w:shd w:fill="F2F4F7"/>
          </w:tcPr>
          <w:p>
            <w:pPr>
              <w:spacing w:after="0"/>
            </w:pPr>
            <w:r/>
            <w:r>
              <w:rPr>
                <w:rFonts w:ascii="Calibri" w:hAnsi="Calibri"/>
                <w:b/>
                <w:sz w:val="20"/>
              </w:rPr>
              <w:t>Pattern</w:t>
            </w:r>
          </w:p>
        </w:tc>
        <w:tc>
          <w:tcPr>
            <w:tcW w:type="dxa" w:w="2340"/>
            <w:vAlign w:val="center"/>
            <w:shd w:fill="F2F4F7"/>
          </w:tcPr>
          <w:p>
            <w:pPr>
              <w:spacing w:after="0"/>
            </w:pPr>
            <w:r/>
            <w:r>
              <w:rPr>
                <w:rFonts w:ascii="Calibri" w:hAnsi="Calibri"/>
                <w:b/>
                <w:sz w:val="20"/>
              </w:rPr>
              <w:t>Waktu Digunakan</w:t>
            </w:r>
          </w:p>
        </w:tc>
        <w:tc>
          <w:tcPr>
            <w:tcW w:type="dxa" w:w="2340"/>
            <w:vAlign w:val="center"/>
            <w:shd w:fill="F2F4F7"/>
          </w:tcPr>
          <w:p>
            <w:pPr>
              <w:spacing w:after="0"/>
            </w:pPr>
            <w:r/>
            <w:r>
              <w:rPr>
                <w:rFonts w:ascii="Calibri" w:hAnsi="Calibri"/>
                <w:b/>
                <w:sz w:val="20"/>
              </w:rPr>
              <w:t>Tanggung Jawab</w:t>
            </w:r>
          </w:p>
        </w:tc>
        <w:tc>
          <w:tcPr>
            <w:tcW w:type="dxa" w:w="2340"/>
            <w:vAlign w:val="center"/>
            <w:shd w:fill="F2F4F7"/>
          </w:tcPr>
          <w:p>
            <w:pPr>
              <w:spacing w:after="0"/>
            </w:pPr>
            <w:r/>
            <w:r>
              <w:rPr>
                <w:rFonts w:ascii="Calibri" w:hAnsi="Calibri"/>
                <w:b/>
                <w:sz w:val="20"/>
              </w:rPr>
              <w:t>File Utama</w:t>
            </w:r>
          </w:p>
        </w:tc>
      </w:tr>
      <w:tr>
        <w:tc>
          <w:tcPr>
            <w:tcW w:type="dxa" w:w="1728"/>
            <w:vAlign w:val="center"/>
          </w:tcPr>
          <w:p>
            <w:pPr>
              <w:spacing w:after="0"/>
            </w:pPr>
            <w:r/>
            <w:r>
              <w:rPr>
                <w:rFonts w:ascii="Calibri" w:hAnsi="Calibri"/>
                <w:b w:val="0"/>
                <w:sz w:val="20"/>
              </w:rPr>
              <w:t>Factory</w:t>
            </w:r>
          </w:p>
        </w:tc>
        <w:tc>
          <w:tcPr>
            <w:tcW w:type="dxa" w:w="2304"/>
            <w:vAlign w:val="center"/>
          </w:tcPr>
          <w:p>
            <w:pPr>
              <w:spacing w:after="0"/>
            </w:pPr>
            <w:r/>
            <w:r>
              <w:rPr>
                <w:rFonts w:ascii="Calibri" w:hAnsi="Calibri"/>
                <w:b w:val="0"/>
                <w:sz w:val="20"/>
              </w:rPr>
              <w:t>Sebelum simpan database</w:t>
            </w:r>
          </w:p>
        </w:tc>
        <w:tc>
          <w:tcPr>
            <w:tcW w:type="dxa" w:w="3456"/>
            <w:vAlign w:val="center"/>
          </w:tcPr>
          <w:p>
            <w:pPr>
              <w:spacing w:after="0"/>
            </w:pPr>
            <w:r/>
            <w:r>
              <w:rPr>
                <w:rFonts w:ascii="Calibri" w:hAnsi="Calibri"/>
                <w:b w:val="0"/>
                <w:sz w:val="20"/>
              </w:rPr>
              <w:t>Membuat product transaksi, validasi bisnis, dan memilih jenis laporan.</w:t>
            </w:r>
          </w:p>
        </w:tc>
        <w:tc>
          <w:tcPr>
            <w:tcW w:type="dxa" w:w="1872"/>
            <w:vAlign w:val="center"/>
          </w:tcPr>
          <w:p>
            <w:pPr>
              <w:spacing w:after="0"/>
            </w:pPr>
            <w:r/>
            <w:r>
              <w:rPr>
                <w:rFonts w:ascii="Calibri" w:hAnsi="Calibri"/>
                <w:b w:val="0"/>
                <w:sz w:val="20"/>
              </w:rPr>
              <w:t>internal/patterns/factory.go</w:t>
            </w:r>
          </w:p>
        </w:tc>
      </w:tr>
      <w:tr>
        <w:tc>
          <w:tcPr>
            <w:tcW w:type="dxa" w:w="1728"/>
            <w:vAlign w:val="center"/>
          </w:tcPr>
          <w:p>
            <w:pPr>
              <w:spacing w:after="0"/>
            </w:pPr>
            <w:r/>
            <w:r>
              <w:rPr>
                <w:rFonts w:ascii="Calibri" w:hAnsi="Calibri"/>
                <w:b w:val="0"/>
                <w:sz w:val="20"/>
              </w:rPr>
              <w:t>Observer</w:t>
            </w:r>
          </w:p>
        </w:tc>
        <w:tc>
          <w:tcPr>
            <w:tcW w:type="dxa" w:w="2304"/>
            <w:vAlign w:val="center"/>
          </w:tcPr>
          <w:p>
            <w:pPr>
              <w:spacing w:after="0"/>
            </w:pPr>
            <w:r/>
            <w:r>
              <w:rPr>
                <w:rFonts w:ascii="Calibri" w:hAnsi="Calibri"/>
                <w:b w:val="0"/>
                <w:sz w:val="20"/>
              </w:rPr>
              <w:t>Setelah transaksi tersimpan</w:t>
            </w:r>
          </w:p>
        </w:tc>
        <w:tc>
          <w:tcPr>
            <w:tcW w:type="dxa" w:w="3456"/>
            <w:vAlign w:val="center"/>
          </w:tcPr>
          <w:p>
            <w:pPr>
              <w:spacing w:after="0"/>
            </w:pPr>
            <w:r/>
            <w:r>
              <w:rPr>
                <w:rFonts w:ascii="Calibri" w:hAnsi="Calibri"/>
                <w:b w:val="0"/>
                <w:sz w:val="20"/>
              </w:rPr>
              <w:t>Menjalankan efek samping seperti update budget, notifikasi, dan audit.</w:t>
            </w:r>
          </w:p>
        </w:tc>
        <w:tc>
          <w:tcPr>
            <w:tcW w:type="dxa" w:w="1872"/>
            <w:vAlign w:val="center"/>
          </w:tcPr>
          <w:p>
            <w:pPr>
              <w:spacing w:after="0"/>
            </w:pPr>
            <w:r/>
            <w:r>
              <w:rPr>
                <w:rFonts w:ascii="Calibri" w:hAnsi="Calibri"/>
                <w:b w:val="0"/>
                <w:sz w:val="20"/>
              </w:rPr>
              <w:t>internal/patterns/observer.go</w:t>
            </w:r>
          </w:p>
        </w:tc>
      </w:tr>
    </w:tbl>
    <w:p/>
    <w:p>
      <w:pPr>
        <w:pStyle w:val="Heading2"/>
      </w:pPr>
      <w:r>
        <w:t>4.1 Urutan Integrasi pada Create Transaksi</w:t>
      </w:r>
    </w:p>
    <w:tbl>
      <w:tblPr>
        <w:tblStyle w:val="TableGrid"/>
        <w:tblW w:type="auto" w:w="0"/>
        <w:tblLayout w:type="fixed"/>
        <w:tblLook w:firstColumn="1" w:firstRow="1" w:lastColumn="0" w:lastRow="0" w:noHBand="0" w:noVBand="1" w:val="04A0"/>
      </w:tblPr>
      <w:tblGrid>
        <w:gridCol w:w="1152"/>
        <w:gridCol w:w="8208"/>
      </w:tblGrid>
      <w:tr>
        <w:tc>
          <w:tcPr>
            <w:tcW w:type="dxa" w:w="4680"/>
            <w:vAlign w:val="center"/>
            <w:shd w:fill="F2F4F7"/>
          </w:tcPr>
          <w:p>
            <w:pPr>
              <w:spacing w:after="0"/>
            </w:pPr>
            <w:r/>
            <w:r>
              <w:rPr>
                <w:rFonts w:ascii="Calibri" w:hAnsi="Calibri"/>
                <w:b/>
                <w:sz w:val="20"/>
              </w:rPr>
              <w:t>Urutan</w:t>
            </w:r>
          </w:p>
        </w:tc>
        <w:tc>
          <w:tcPr>
            <w:tcW w:type="dxa" w:w="4680"/>
            <w:vAlign w:val="center"/>
            <w:shd w:fill="F2F4F7"/>
          </w:tcPr>
          <w:p>
            <w:pPr>
              <w:spacing w:after="0"/>
            </w:pPr>
            <w:r/>
            <w:r>
              <w:rPr>
                <w:rFonts w:ascii="Calibri" w:hAnsi="Calibri"/>
                <w:b/>
                <w:sz w:val="20"/>
              </w:rPr>
              <w:t>Proses</w:t>
            </w:r>
          </w:p>
        </w:tc>
      </w:tr>
      <w:tr>
        <w:tc>
          <w:tcPr>
            <w:tcW w:type="dxa" w:w="1152"/>
            <w:vAlign w:val="center"/>
          </w:tcPr>
          <w:p>
            <w:pPr>
              <w:spacing w:after="0"/>
            </w:pPr>
            <w:r/>
            <w:r>
              <w:rPr>
                <w:rFonts w:ascii="Calibri" w:hAnsi="Calibri"/>
                <w:b w:val="0"/>
                <w:sz w:val="20"/>
              </w:rPr>
              <w:t>1</w:t>
            </w:r>
          </w:p>
        </w:tc>
        <w:tc>
          <w:tcPr>
            <w:tcW w:type="dxa" w:w="8208"/>
            <w:vAlign w:val="center"/>
          </w:tcPr>
          <w:p>
            <w:pPr>
              <w:spacing w:after="0"/>
            </w:pPr>
            <w:r/>
            <w:r>
              <w:rPr>
                <w:rFonts w:ascii="Calibri" w:hAnsi="Calibri"/>
                <w:b w:val="0"/>
                <w:sz w:val="20"/>
              </w:rPr>
              <w:t>Client mengirim request create transaksi ke POST /api/transactions.</w:t>
            </w:r>
          </w:p>
        </w:tc>
      </w:tr>
      <w:tr>
        <w:tc>
          <w:tcPr>
            <w:tcW w:type="dxa" w:w="1152"/>
            <w:vAlign w:val="center"/>
          </w:tcPr>
          <w:p>
            <w:pPr>
              <w:spacing w:after="0"/>
            </w:pPr>
            <w:r/>
            <w:r>
              <w:rPr>
                <w:rFonts w:ascii="Calibri" w:hAnsi="Calibri"/>
                <w:b w:val="0"/>
                <w:sz w:val="20"/>
              </w:rPr>
              <w:t>2</w:t>
            </w:r>
          </w:p>
        </w:tc>
        <w:tc>
          <w:tcPr>
            <w:tcW w:type="dxa" w:w="8208"/>
            <w:vAlign w:val="center"/>
          </w:tcPr>
          <w:p>
            <w:pPr>
              <w:spacing w:after="0"/>
            </w:pPr>
            <w:r/>
            <w:r>
              <w:rPr>
                <w:rFonts w:ascii="Calibri" w:hAnsi="Calibri"/>
                <w:b w:val="0"/>
                <w:sz w:val="20"/>
              </w:rPr>
              <w:t>TransactionHandler membaca request dan tenant ID.</w:t>
            </w:r>
          </w:p>
        </w:tc>
      </w:tr>
      <w:tr>
        <w:tc>
          <w:tcPr>
            <w:tcW w:type="dxa" w:w="1152"/>
            <w:vAlign w:val="center"/>
          </w:tcPr>
          <w:p>
            <w:pPr>
              <w:spacing w:after="0"/>
            </w:pPr>
            <w:r/>
            <w:r>
              <w:rPr>
                <w:rFonts w:ascii="Calibri" w:hAnsi="Calibri"/>
                <w:b w:val="0"/>
                <w:sz w:val="20"/>
              </w:rPr>
              <w:t>3</w:t>
            </w:r>
          </w:p>
        </w:tc>
        <w:tc>
          <w:tcPr>
            <w:tcW w:type="dxa" w:w="8208"/>
            <w:vAlign w:val="center"/>
          </w:tcPr>
          <w:p>
            <w:pPr>
              <w:spacing w:after="0"/>
            </w:pPr>
            <w:r/>
            <w:r>
              <w:rPr>
                <w:rFonts w:ascii="Calibri" w:hAnsi="Calibri"/>
                <w:b w:val="0"/>
                <w:sz w:val="20"/>
              </w:rPr>
              <w:t>TransactionService memanggil TransactionFactory.Create.</w:t>
            </w:r>
          </w:p>
        </w:tc>
      </w:tr>
      <w:tr>
        <w:tc>
          <w:tcPr>
            <w:tcW w:type="dxa" w:w="1152"/>
            <w:vAlign w:val="center"/>
          </w:tcPr>
          <w:p>
            <w:pPr>
              <w:spacing w:after="0"/>
            </w:pPr>
            <w:r/>
            <w:r>
              <w:rPr>
                <w:rFonts w:ascii="Calibri" w:hAnsi="Calibri"/>
                <w:b w:val="0"/>
                <w:sz w:val="20"/>
              </w:rPr>
              <w:t>4</w:t>
            </w:r>
          </w:p>
        </w:tc>
        <w:tc>
          <w:tcPr>
            <w:tcW w:type="dxa" w:w="8208"/>
            <w:vAlign w:val="center"/>
          </w:tcPr>
          <w:p>
            <w:pPr>
              <w:spacing w:after="0"/>
            </w:pPr>
            <w:r/>
            <w:r>
              <w:rPr>
                <w:rFonts w:ascii="Calibri" w:hAnsi="Calibri"/>
                <w:b w:val="0"/>
                <w:sz w:val="20"/>
              </w:rPr>
              <w:t>Product transaksi menjalankan Validate.</w:t>
            </w:r>
          </w:p>
        </w:tc>
      </w:tr>
      <w:tr>
        <w:tc>
          <w:tcPr>
            <w:tcW w:type="dxa" w:w="1152"/>
            <w:vAlign w:val="center"/>
          </w:tcPr>
          <w:p>
            <w:pPr>
              <w:spacing w:after="0"/>
            </w:pPr>
            <w:r/>
            <w:r>
              <w:rPr>
                <w:rFonts w:ascii="Calibri" w:hAnsi="Calibri"/>
                <w:b w:val="0"/>
                <w:sz w:val="20"/>
              </w:rPr>
              <w:t>5</w:t>
            </w:r>
          </w:p>
        </w:tc>
        <w:tc>
          <w:tcPr>
            <w:tcW w:type="dxa" w:w="8208"/>
            <w:vAlign w:val="center"/>
          </w:tcPr>
          <w:p>
            <w:pPr>
              <w:spacing w:after="0"/>
            </w:pPr>
            <w:r/>
            <w:r>
              <w:rPr>
                <w:rFonts w:ascii="Calibri" w:hAnsi="Calibri"/>
                <w:b w:val="0"/>
                <w:sz w:val="20"/>
              </w:rPr>
              <w:t>TransactionService menyimpan models.Transaction ke database.</w:t>
            </w:r>
          </w:p>
        </w:tc>
      </w:tr>
      <w:tr>
        <w:tc>
          <w:tcPr>
            <w:tcW w:type="dxa" w:w="1152"/>
            <w:vAlign w:val="center"/>
          </w:tcPr>
          <w:p>
            <w:pPr>
              <w:spacing w:after="0"/>
            </w:pPr>
            <w:r/>
            <w:r>
              <w:rPr>
                <w:rFonts w:ascii="Calibri" w:hAnsi="Calibri"/>
                <w:b w:val="0"/>
                <w:sz w:val="20"/>
              </w:rPr>
              <w:t>6</w:t>
            </w:r>
          </w:p>
        </w:tc>
        <w:tc>
          <w:tcPr>
            <w:tcW w:type="dxa" w:w="8208"/>
            <w:vAlign w:val="center"/>
          </w:tcPr>
          <w:p>
            <w:pPr>
              <w:spacing w:after="0"/>
            </w:pPr>
            <w:r/>
            <w:r>
              <w:rPr>
                <w:rFonts w:ascii="Calibri" w:hAnsi="Calibri"/>
                <w:b w:val="0"/>
                <w:sz w:val="20"/>
              </w:rPr>
              <w:t>TransactionService mempublish TransactionEvent ke TransactionEventBus.</w:t>
            </w:r>
          </w:p>
        </w:tc>
      </w:tr>
      <w:tr>
        <w:tc>
          <w:tcPr>
            <w:tcW w:type="dxa" w:w="1152"/>
            <w:vAlign w:val="center"/>
          </w:tcPr>
          <w:p>
            <w:pPr>
              <w:spacing w:after="0"/>
            </w:pPr>
            <w:r/>
            <w:r>
              <w:rPr>
                <w:rFonts w:ascii="Calibri" w:hAnsi="Calibri"/>
                <w:b w:val="0"/>
                <w:sz w:val="20"/>
              </w:rPr>
              <w:t>7</w:t>
            </w:r>
          </w:p>
        </w:tc>
        <w:tc>
          <w:tcPr>
            <w:tcW w:type="dxa" w:w="8208"/>
            <w:vAlign w:val="center"/>
          </w:tcPr>
          <w:p>
            <w:pPr>
              <w:spacing w:after="0"/>
            </w:pPr>
            <w:r/>
            <w:r>
              <w:rPr>
                <w:rFonts w:ascii="Calibri" w:hAnsi="Calibri"/>
                <w:b w:val="0"/>
                <w:sz w:val="20"/>
              </w:rPr>
              <w:t>BudgetObserver, NotificationObserver, dan AuditObserver berjalan secara async.</w:t>
            </w:r>
          </w:p>
        </w:tc>
      </w:tr>
    </w:tbl>
    <w:p/>
    <w:p>
      <w:pPr>
        <w:pStyle w:val="Heading1"/>
      </w:pPr>
      <w:r>
        <w:t>5. Contoh Pengembangan Sistem</w:t>
      </w:r>
    </w:p>
    <w:p>
      <w:pPr>
        <w:pStyle w:val="Heading2"/>
      </w:pPr>
      <w:r>
        <w:t>5.1 Menambahkan Tipe Transaksi Baru</w:t>
      </w:r>
    </w:p>
    <w:p>
      <w:r>
        <w:t>Jika sistem ingin menambahkan tipe transaksi baru, misalnya transfer, perubahan utama dilakukan pada factory dan product baru. Service tetap dapat memanggil factory dengan pola yang sama.</w:t>
      </w:r>
    </w:p>
    <w:p>
      <w:pPr>
        <w:pStyle w:val="ListBullet"/>
        <w:spacing w:after="80"/>
      </w:pPr>
      <w:r>
        <w:t>Tambahkan struct TransferTransaction yang memenuhi interface Transaction.</w:t>
      </w:r>
    </w:p>
    <w:p>
      <w:pPr>
        <w:pStyle w:val="ListBullet"/>
        <w:spacing w:after="80"/>
      </w:pPr>
      <w:r>
        <w:t>Tambahkan validasi khusus transfer jika dibutuhkan.</w:t>
      </w:r>
    </w:p>
    <w:p>
      <w:pPr>
        <w:pStyle w:val="ListBullet"/>
        <w:spacing w:after="80"/>
      </w:pPr>
      <w:r>
        <w:t>Tambahkan case transfer pada TransactionFactory.Create.</w:t>
      </w:r>
    </w:p>
    <w:p>
      <w:pPr>
        <w:pStyle w:val="ListBullet"/>
        <w:spacing w:after="80"/>
      </w:pPr>
      <w:r>
        <w:t>Sesuaikan model atau database jika tipe baru membutuhkan field tambahan.</w:t>
      </w:r>
    </w:p>
    <w:p>
      <w:pPr>
        <w:pStyle w:val="Heading2"/>
      </w:pPr>
      <w:r>
        <w:t>5.2 Menambahkan Jenis Laporan Baru</w:t>
      </w:r>
    </w:p>
    <w:p>
      <w:r>
        <w:t>Jika sistem membutuhkan laporan yearly, developer dapat membuat YearlyReport yang memenuhi interface Report, lalu menambahkan case yearly pada ReportFactory.Create.</w:t>
      </w:r>
    </w:p>
    <w:p>
      <w:pPr>
        <w:pStyle w:val="Heading2"/>
      </w:pPr>
      <w:r>
        <w:t>5.3 Menambahkan Observer Baru</w:t>
      </w:r>
    </w:p>
    <w:p>
      <w:r>
        <w:t>Jika ada kebutuhan baru, misalnya mengirim email setelah transaksi besar dibuat, developer dapat membuat EmailObserver yang memenuhi interface TransactionObserver dan mendaftarkannya ke EventBus. TransactionService tidak perlu diubah selama event yang dibutuhkan sudah tersedia.</w:t>
      </w:r>
    </w:p>
    <w:p>
      <w:pPr>
        <w:pStyle w:val="Heading1"/>
      </w:pPr>
      <w:r>
        <w:t>6. Kesimpulan</w:t>
      </w:r>
    </w:p>
    <w:p>
      <w:r>
        <w:t>Pada folder backend, Factory Pattern dan Observer Pattern digunakan untuk memisahkan tanggung jawab utama dalam proses bisnis. Factory Pattern digunakan pada TransactionFactory dan ReportFactory untuk memusatkan pembuatan objek transaksi dan laporan. Observer Pattern digunakan pada TransactionEventBus untuk menjalankan efek samping setelah transaksi berhasil disimpan.</w:t>
      </w:r>
    </w:p>
    <w:p>
      <w:r>
        <w:t>Penerapan ini membuat backend lebih rapi, mudah diuji, dan siap dikembangkan. Handler tidak perlu mengetahui detail pembuatan object transaksi atau laporan, sedangkan TransactionService tidak perlu menampung seluruh logic update budget, notifikasi, dan audit. Ketika kebutuhan baru muncul, perubahan dapat diarahkan ke factory atau observer yang sesuai tanpa merusak flow utama.</w:t>
      </w:r>
    </w:p>
    <w:p>
      <w:pPr>
        <w:pStyle w:val="Heading1"/>
      </w:pPr>
      <w:r>
        <w:t>Daftar Istilah</w:t>
      </w:r>
    </w:p>
    <w:tbl>
      <w:tblPr>
        <w:tblStyle w:val="TableGrid"/>
        <w:tblW w:type="auto" w:w="0"/>
        <w:tblLayout w:type="fixed"/>
        <w:tblLook w:firstColumn="1" w:firstRow="1" w:lastColumn="0" w:lastRow="0" w:noHBand="0" w:noVBand="1" w:val="04A0"/>
      </w:tblPr>
      <w:tblGrid>
        <w:gridCol w:w="2592"/>
        <w:gridCol w:w="6768"/>
      </w:tblGrid>
      <w:tr>
        <w:tc>
          <w:tcPr>
            <w:tcW w:type="dxa" w:w="4680"/>
            <w:vAlign w:val="center"/>
            <w:shd w:fill="F2F4F7"/>
          </w:tcPr>
          <w:p>
            <w:pPr>
              <w:spacing w:after="0"/>
            </w:pPr>
            <w:r/>
            <w:r>
              <w:rPr>
                <w:rFonts w:ascii="Calibri" w:hAnsi="Calibri"/>
                <w:b/>
                <w:sz w:val="20"/>
              </w:rPr>
              <w:t>Istilah</w:t>
            </w:r>
          </w:p>
        </w:tc>
        <w:tc>
          <w:tcPr>
            <w:tcW w:type="dxa" w:w="4680"/>
            <w:vAlign w:val="center"/>
            <w:shd w:fill="F2F4F7"/>
          </w:tcPr>
          <w:p>
            <w:pPr>
              <w:spacing w:after="0"/>
            </w:pPr>
            <w:r/>
            <w:r>
              <w:rPr>
                <w:rFonts w:ascii="Calibri" w:hAnsi="Calibri"/>
                <w:b/>
                <w:sz w:val="20"/>
              </w:rPr>
              <w:t>Arti</w:t>
            </w:r>
          </w:p>
        </w:tc>
      </w:tr>
      <w:tr>
        <w:tc>
          <w:tcPr>
            <w:tcW w:type="dxa" w:w="2592"/>
            <w:vAlign w:val="center"/>
          </w:tcPr>
          <w:p>
            <w:pPr>
              <w:spacing w:after="0"/>
            </w:pPr>
            <w:r/>
            <w:r>
              <w:rPr>
                <w:rFonts w:ascii="Calibri" w:hAnsi="Calibri"/>
                <w:b w:val="0"/>
                <w:sz w:val="20"/>
              </w:rPr>
              <w:t>Factory Pattern</w:t>
            </w:r>
          </w:p>
        </w:tc>
        <w:tc>
          <w:tcPr>
            <w:tcW w:type="dxa" w:w="6768"/>
            <w:vAlign w:val="center"/>
          </w:tcPr>
          <w:p>
            <w:pPr>
              <w:spacing w:after="0"/>
            </w:pPr>
            <w:r/>
            <w:r>
              <w:rPr>
                <w:rFonts w:ascii="Calibri" w:hAnsi="Calibri"/>
                <w:b w:val="0"/>
                <w:sz w:val="20"/>
              </w:rPr>
              <w:t>Design pattern yang memusatkan pembuatan objek berdasarkan input tertentu.</w:t>
            </w:r>
          </w:p>
        </w:tc>
      </w:tr>
      <w:tr>
        <w:tc>
          <w:tcPr>
            <w:tcW w:type="dxa" w:w="2592"/>
            <w:vAlign w:val="center"/>
          </w:tcPr>
          <w:p>
            <w:pPr>
              <w:spacing w:after="0"/>
            </w:pPr>
            <w:r/>
            <w:r>
              <w:rPr>
                <w:rFonts w:ascii="Calibri" w:hAnsi="Calibri"/>
                <w:b w:val="0"/>
                <w:sz w:val="20"/>
              </w:rPr>
              <w:t>Observer Pattern</w:t>
            </w:r>
          </w:p>
        </w:tc>
        <w:tc>
          <w:tcPr>
            <w:tcW w:type="dxa" w:w="6768"/>
            <w:vAlign w:val="center"/>
          </w:tcPr>
          <w:p>
            <w:pPr>
              <w:spacing w:after="0"/>
            </w:pPr>
            <w:r/>
            <w:r>
              <w:rPr>
                <w:rFonts w:ascii="Calibri" w:hAnsi="Calibri"/>
                <w:b w:val="0"/>
                <w:sz w:val="20"/>
              </w:rPr>
              <w:t>Design pattern yang memungkinkan banyak observer bereaksi terhadap satu event.</w:t>
            </w:r>
          </w:p>
        </w:tc>
      </w:tr>
      <w:tr>
        <w:tc>
          <w:tcPr>
            <w:tcW w:type="dxa" w:w="2592"/>
            <w:vAlign w:val="center"/>
          </w:tcPr>
          <w:p>
            <w:pPr>
              <w:spacing w:after="0"/>
            </w:pPr>
            <w:r/>
            <w:r>
              <w:rPr>
                <w:rFonts w:ascii="Calibri" w:hAnsi="Calibri"/>
                <w:b w:val="0"/>
                <w:sz w:val="20"/>
              </w:rPr>
              <w:t>Subject / Publisher</w:t>
            </w:r>
          </w:p>
        </w:tc>
        <w:tc>
          <w:tcPr>
            <w:tcW w:type="dxa" w:w="6768"/>
            <w:vAlign w:val="center"/>
          </w:tcPr>
          <w:p>
            <w:pPr>
              <w:spacing w:after="0"/>
            </w:pPr>
            <w:r/>
            <w:r>
              <w:rPr>
                <w:rFonts w:ascii="Calibri" w:hAnsi="Calibri"/>
                <w:b w:val="0"/>
                <w:sz w:val="20"/>
              </w:rPr>
              <w:t>Object yang menyimpan observer dan mengirim event kepada mereka.</w:t>
            </w:r>
          </w:p>
        </w:tc>
      </w:tr>
      <w:tr>
        <w:tc>
          <w:tcPr>
            <w:tcW w:type="dxa" w:w="2592"/>
            <w:vAlign w:val="center"/>
          </w:tcPr>
          <w:p>
            <w:pPr>
              <w:spacing w:after="0"/>
            </w:pPr>
            <w:r/>
            <w:r>
              <w:rPr>
                <w:rFonts w:ascii="Calibri" w:hAnsi="Calibri"/>
                <w:b w:val="0"/>
                <w:sz w:val="20"/>
              </w:rPr>
              <w:t>Observer / Subscriber</w:t>
            </w:r>
          </w:p>
        </w:tc>
        <w:tc>
          <w:tcPr>
            <w:tcW w:type="dxa" w:w="6768"/>
            <w:vAlign w:val="center"/>
          </w:tcPr>
          <w:p>
            <w:pPr>
              <w:spacing w:after="0"/>
            </w:pPr>
            <w:r/>
            <w:r>
              <w:rPr>
                <w:rFonts w:ascii="Calibri" w:hAnsi="Calibri"/>
                <w:b w:val="0"/>
                <w:sz w:val="20"/>
              </w:rPr>
              <w:t>Object yang menerima event dan menjalankan aksi tertentu.</w:t>
            </w:r>
          </w:p>
        </w:tc>
      </w:tr>
      <w:tr>
        <w:tc>
          <w:tcPr>
            <w:tcW w:type="dxa" w:w="2592"/>
            <w:vAlign w:val="center"/>
          </w:tcPr>
          <w:p>
            <w:pPr>
              <w:spacing w:after="0"/>
            </w:pPr>
            <w:r/>
            <w:r>
              <w:rPr>
                <w:rFonts w:ascii="Calibri" w:hAnsi="Calibri"/>
                <w:b w:val="0"/>
                <w:sz w:val="20"/>
              </w:rPr>
              <w:t>EventBus</w:t>
            </w:r>
          </w:p>
        </w:tc>
        <w:tc>
          <w:tcPr>
            <w:tcW w:type="dxa" w:w="6768"/>
            <w:vAlign w:val="center"/>
          </w:tcPr>
          <w:p>
            <w:pPr>
              <w:spacing w:after="0"/>
            </w:pPr>
            <w:r/>
            <w:r>
              <w:rPr>
                <w:rFonts w:ascii="Calibri" w:hAnsi="Calibri"/>
                <w:b w:val="0"/>
                <w:sz w:val="20"/>
              </w:rPr>
              <w:t>Komponen backend yang menghubungkan publisher dan observer.</w:t>
            </w:r>
          </w:p>
        </w:tc>
      </w:tr>
      <w:tr>
        <w:tc>
          <w:tcPr>
            <w:tcW w:type="dxa" w:w="2592"/>
            <w:vAlign w:val="center"/>
          </w:tcPr>
          <w:p>
            <w:pPr>
              <w:spacing w:after="0"/>
            </w:pPr>
            <w:r/>
            <w:r>
              <w:rPr>
                <w:rFonts w:ascii="Calibri" w:hAnsi="Calibri"/>
                <w:b w:val="0"/>
                <w:sz w:val="20"/>
              </w:rPr>
              <w:t>Tenant ID</w:t>
            </w:r>
          </w:p>
        </w:tc>
        <w:tc>
          <w:tcPr>
            <w:tcW w:type="dxa" w:w="6768"/>
            <w:vAlign w:val="center"/>
          </w:tcPr>
          <w:p>
            <w:pPr>
              <w:spacing w:after="0"/>
            </w:pPr>
            <w:r/>
            <w:r>
              <w:rPr>
                <w:rFonts w:ascii="Calibri" w:hAnsi="Calibri"/>
                <w:b w:val="0"/>
                <w:sz w:val="20"/>
              </w:rPr>
              <w:t>Identitas pemilik data agar transaksi, budget, dan notifikasi tidak bercampur antar tenant.</w:t>
            </w:r>
          </w:p>
        </w:tc>
      </w:tr>
    </w:tbl>
    <w:p/>
    <w:p>
      <w:pPr>
        <w:pStyle w:val="Heading1"/>
      </w:pPr>
      <w:r>
        <w:t>Referensi File Implementasi</w:t>
      </w:r>
    </w:p>
    <w:p>
      <w:pPr>
        <w:pStyle w:val="ListBullet"/>
        <w:spacing w:after="80"/>
      </w:pPr>
      <w:r>
        <w:t>backend/internal/patterns/factory.go</w:t>
      </w:r>
    </w:p>
    <w:p>
      <w:pPr>
        <w:pStyle w:val="ListBullet"/>
        <w:spacing w:after="80"/>
      </w:pPr>
      <w:r>
        <w:t>backend/internal/patterns/observer.go</w:t>
      </w:r>
    </w:p>
    <w:p>
      <w:pPr>
        <w:pStyle w:val="ListBullet"/>
        <w:spacing w:after="80"/>
      </w:pPr>
      <w:r>
        <w:t>backend/internal/services/transaction_service.go</w:t>
      </w:r>
    </w:p>
    <w:p>
      <w:pPr>
        <w:pStyle w:val="ListBullet"/>
        <w:spacing w:after="80"/>
      </w:pPr>
      <w:r>
        <w:t>backend/internal/handlers/transaction.go</w:t>
      </w:r>
    </w:p>
    <w:p>
      <w:pPr>
        <w:pStyle w:val="ListBullet"/>
        <w:spacing w:after="80"/>
      </w:pPr>
      <w:r>
        <w:t>backend/internal/handlers/report.go</w:t>
      </w:r>
    </w:p>
    <w:p>
      <w:pPr>
        <w:pStyle w:val="ListBullet"/>
        <w:spacing w:after="80"/>
      </w:pPr>
      <w:r>
        <w:t>backend/cmd/main.go</w:t>
      </w:r>
    </w:p>
    <w:p>
      <w:pPr>
        <w:pStyle w:val="ListBullet"/>
        <w:spacing w:after="80"/>
      </w:pPr>
      <w:r>
        <w:t>backend/internal/patterns/factory_test.go</w:t>
      </w:r>
    </w:p>
    <w:p>
      <w:pPr>
        <w:pStyle w:val="ListBullet"/>
        <w:spacing w:after="80"/>
      </w:pPr>
      <w:r>
        <w:t>backend/internal/patterns/observer_test.go</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