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51F4" w14:textId="02B5D815" w:rsidR="00AB32D7" w:rsidRDefault="00AB32D7">
      <w:pPr>
        <w:rPr>
          <w:b/>
          <w:bCs/>
          <w:sz w:val="48"/>
          <w:szCs w:val="48"/>
        </w:rPr>
      </w:pPr>
      <w:r w:rsidRPr="00AB32D7">
        <w:rPr>
          <w:b/>
          <w:bCs/>
          <w:sz w:val="48"/>
          <w:szCs w:val="48"/>
        </w:rPr>
        <w:t>Practical Task 1</w:t>
      </w:r>
    </w:p>
    <w:p w14:paraId="54A8DA93" w14:textId="242BC5B1" w:rsidR="00AB32D7" w:rsidRPr="00AB32D7" w:rsidRDefault="00AB32D7" w:rsidP="00AB32D7">
      <w:pPr>
        <w:rPr>
          <w:szCs w:val="24"/>
        </w:rPr>
      </w:pPr>
      <w:r>
        <w:rPr>
          <w:rFonts w:hint="eastAsia"/>
          <w:szCs w:val="24"/>
        </w:rPr>
        <w:t>1</w:t>
      </w:r>
      <w:r>
        <w:rPr>
          <w:szCs w:val="24"/>
        </w:rPr>
        <w:t>.</w:t>
      </w:r>
    </w:p>
    <w:p w14:paraId="03FA979C" w14:textId="152F5A53" w:rsidR="00AB32D7" w:rsidRPr="00AB32D7" w:rsidRDefault="00AB32D7" w:rsidP="00AB32D7">
      <w:pPr>
        <w:rPr>
          <w:szCs w:val="24"/>
        </w:rPr>
      </w:pPr>
      <w:r w:rsidRPr="00AB32D7">
        <w:rPr>
          <w:szCs w:val="24"/>
        </w:rPr>
        <w:t>Which three countries have the lowest gender wage gap?</w:t>
      </w:r>
    </w:p>
    <w:p w14:paraId="1B56986A" w14:textId="1680A34A" w:rsidR="00AB32D7" w:rsidRPr="00AB32D7" w:rsidRDefault="00AB32D7" w:rsidP="00AB32D7">
      <w:pPr>
        <w:ind w:left="480"/>
        <w:rPr>
          <w:szCs w:val="24"/>
        </w:rPr>
      </w:pPr>
      <w:r>
        <w:rPr>
          <w:rFonts w:hint="eastAsia"/>
          <w:szCs w:val="24"/>
        </w:rPr>
        <w:t>C</w:t>
      </w:r>
      <w:r>
        <w:rPr>
          <w:szCs w:val="24"/>
        </w:rPr>
        <w:t>osta Rica, Belgium, Denmark</w:t>
      </w:r>
    </w:p>
    <w:p w14:paraId="1DF59422" w14:textId="5661E0D1" w:rsidR="00AB32D7" w:rsidRPr="00AB32D7" w:rsidRDefault="00AB32D7" w:rsidP="00AB32D7">
      <w:pPr>
        <w:rPr>
          <w:rFonts w:cstheme="minorHAnsi"/>
          <w:szCs w:val="24"/>
        </w:rPr>
      </w:pPr>
      <w:r w:rsidRPr="00AB32D7">
        <w:rPr>
          <w:szCs w:val="24"/>
        </w:rPr>
        <w:t>Which three countries have the highest gender wage gap?</w:t>
      </w:r>
    </w:p>
    <w:p w14:paraId="3A1DA316" w14:textId="5EE12D1B" w:rsidR="00AB32D7" w:rsidRDefault="00AB32D7" w:rsidP="00AB32D7">
      <w:pPr>
        <w:pStyle w:val="a3"/>
        <w:ind w:leftChars="0"/>
        <w:rPr>
          <w:rFonts w:cstheme="minorHAnsi"/>
          <w:szCs w:val="24"/>
        </w:rPr>
      </w:pPr>
      <w:r>
        <w:rPr>
          <w:rFonts w:hint="eastAsia"/>
          <w:szCs w:val="24"/>
        </w:rPr>
        <w:t>C</w:t>
      </w:r>
      <w:r>
        <w:rPr>
          <w:szCs w:val="24"/>
        </w:rPr>
        <w:t>hile</w:t>
      </w:r>
      <w:r>
        <w:rPr>
          <w:rFonts w:cstheme="minorHAnsi"/>
          <w:szCs w:val="24"/>
        </w:rPr>
        <w:t>, Japan, Korea</w:t>
      </w:r>
    </w:p>
    <w:p w14:paraId="20368565" w14:textId="77777777" w:rsidR="00AB32D7" w:rsidRDefault="00AB32D7" w:rsidP="00AB32D7">
      <w:pPr>
        <w:rPr>
          <w:rFonts w:cstheme="minorHAnsi"/>
          <w:szCs w:val="24"/>
        </w:rPr>
      </w:pPr>
    </w:p>
    <w:p w14:paraId="5B488482" w14:textId="35307CF5" w:rsidR="00AB32D7" w:rsidRDefault="00AB32D7" w:rsidP="00AB32D7">
      <w:pPr>
        <w:rPr>
          <w:rFonts w:cstheme="minorHAnsi"/>
          <w:szCs w:val="24"/>
        </w:rPr>
      </w:pPr>
      <w:r w:rsidRPr="00AB32D7">
        <w:rPr>
          <w:rFonts w:cstheme="minorHAnsi"/>
          <w:szCs w:val="24"/>
        </w:rPr>
        <w:t>Costa Rica's success in achieving a low gender wage gap in 2015 can be attributed to strong anti-discrimination laws, educational initiatives, and a supportive workplace culture. The country's emphasis on equal opportunities, workforce participation, and gender-inclusive policies, coupled with government initiatives and societal advocacy, played key roles. By prioritizing education, career advancement, and enforcing anti-discrimination measures, Costa Rica created an environment that empowered women and contributed to a significant reduction in the gender wage gap.</w:t>
      </w:r>
    </w:p>
    <w:p w14:paraId="7885C14E" w14:textId="77777777" w:rsidR="00AB32D7" w:rsidRDefault="00AB32D7" w:rsidP="00AB32D7">
      <w:pPr>
        <w:rPr>
          <w:rFonts w:cstheme="minorHAnsi"/>
          <w:szCs w:val="24"/>
        </w:rPr>
      </w:pPr>
    </w:p>
    <w:p w14:paraId="5B91B2B0" w14:textId="798C0D81" w:rsidR="00AB32D7" w:rsidRDefault="00AB32D7" w:rsidP="00AB32D7">
      <w:pPr>
        <w:rPr>
          <w:rFonts w:cstheme="minorHAnsi"/>
          <w:szCs w:val="24"/>
        </w:rPr>
      </w:pPr>
      <w:r>
        <w:rPr>
          <w:rFonts w:cstheme="minorHAnsi" w:hint="eastAsia"/>
          <w:szCs w:val="24"/>
        </w:rPr>
        <w:t>2</w:t>
      </w:r>
      <w:r>
        <w:rPr>
          <w:rFonts w:cstheme="minorHAnsi"/>
          <w:szCs w:val="24"/>
        </w:rPr>
        <w:t>.</w:t>
      </w:r>
    </w:p>
    <w:p w14:paraId="343DBE11" w14:textId="668C1436" w:rsidR="001967B4" w:rsidRDefault="001967B4" w:rsidP="00AB32D7">
      <w:pPr>
        <w:rPr>
          <w:rFonts w:cstheme="minorHAnsi"/>
          <w:szCs w:val="24"/>
        </w:rPr>
      </w:pPr>
      <w:r>
        <w:rPr>
          <w:rFonts w:cstheme="minorHAnsi"/>
          <w:szCs w:val="24"/>
        </w:rPr>
        <w:t>T</w:t>
      </w:r>
      <w:r w:rsidRPr="001967B4">
        <w:rPr>
          <w:rFonts w:cstheme="minorHAnsi"/>
          <w:szCs w:val="24"/>
        </w:rPr>
        <w:t>here is a notable spike in isopropanol sales on the graph, indicating a sudden and significant increase in demand</w:t>
      </w:r>
      <w:r>
        <w:rPr>
          <w:rFonts w:cstheme="minorHAnsi"/>
          <w:szCs w:val="24"/>
        </w:rPr>
        <w:t>. The sales increase from 50 US CTS/lb to over 100 US CTS/lb.</w:t>
      </w:r>
    </w:p>
    <w:p w14:paraId="7BA7F216" w14:textId="77777777" w:rsidR="001967B4" w:rsidRDefault="001967B4" w:rsidP="00AB32D7">
      <w:pPr>
        <w:rPr>
          <w:rFonts w:cstheme="minorHAnsi"/>
          <w:szCs w:val="24"/>
        </w:rPr>
      </w:pPr>
    </w:p>
    <w:p w14:paraId="7B39CBA7" w14:textId="26F03FEF" w:rsidR="001967B4" w:rsidRPr="001967B4" w:rsidRDefault="001967B4" w:rsidP="00AB32D7">
      <w:pPr>
        <w:rPr>
          <w:rFonts w:cstheme="minorHAnsi"/>
          <w:szCs w:val="24"/>
        </w:rPr>
      </w:pPr>
      <w:r w:rsidRPr="001967B4">
        <w:rPr>
          <w:rFonts w:cstheme="minorHAnsi"/>
          <w:szCs w:val="24"/>
        </w:rPr>
        <w:t>This surge is likely attributed to the global COVID-19 pandemic. As isopropanol is a primary ingredient in hand sanitizers, the heightened awareness of hygiene during the pandemic led to an unprecedented demand for sanitizing products, contributing to the surge in isopropanol sales in March 2020. The sharp increase reflects the increased need for hand sanitizers and disinfectants during the initial stages of the pandemic.</w:t>
      </w:r>
    </w:p>
    <w:p w14:paraId="3171F77B" w14:textId="77777777" w:rsidR="00E76542" w:rsidRDefault="00E76542" w:rsidP="00AB32D7">
      <w:pPr>
        <w:rPr>
          <w:rFonts w:cstheme="minorHAnsi"/>
          <w:szCs w:val="24"/>
        </w:rPr>
      </w:pPr>
    </w:p>
    <w:p w14:paraId="58E17EE7" w14:textId="4DC1FA86" w:rsidR="00E76542" w:rsidRDefault="00E76542" w:rsidP="00AB32D7">
      <w:pPr>
        <w:rPr>
          <w:rFonts w:cstheme="minorHAnsi"/>
          <w:szCs w:val="24"/>
        </w:rPr>
      </w:pPr>
      <w:r>
        <w:rPr>
          <w:rFonts w:cstheme="minorHAnsi" w:hint="eastAsia"/>
          <w:szCs w:val="24"/>
        </w:rPr>
        <w:t>3</w:t>
      </w:r>
      <w:r>
        <w:rPr>
          <w:rFonts w:cstheme="minorHAnsi"/>
          <w:szCs w:val="24"/>
        </w:rPr>
        <w:t>.</w:t>
      </w:r>
    </w:p>
    <w:p w14:paraId="7607B74F" w14:textId="77777777" w:rsidR="00A8783D" w:rsidRPr="00A8783D" w:rsidRDefault="00A8783D" w:rsidP="00A8783D">
      <w:pPr>
        <w:rPr>
          <w:rFonts w:cstheme="minorHAnsi"/>
          <w:szCs w:val="24"/>
        </w:rPr>
      </w:pPr>
      <w:r w:rsidRPr="00A8783D">
        <w:rPr>
          <w:rFonts w:cstheme="minorHAnsi"/>
          <w:szCs w:val="24"/>
        </w:rPr>
        <w:t xml:space="preserve">The relationship between CO2 emissions per person and GDP per capita varies across continents. </w:t>
      </w:r>
    </w:p>
    <w:p w14:paraId="21105966" w14:textId="77777777" w:rsidR="00A8783D" w:rsidRPr="00A8783D" w:rsidRDefault="00A8783D" w:rsidP="00A8783D">
      <w:pPr>
        <w:rPr>
          <w:rFonts w:cstheme="minorHAnsi"/>
          <w:szCs w:val="24"/>
        </w:rPr>
      </w:pPr>
    </w:p>
    <w:p w14:paraId="0B424FBC" w14:textId="40119F68" w:rsidR="00A8783D" w:rsidRPr="00A8783D" w:rsidRDefault="00A8783D" w:rsidP="00A8783D">
      <w:pPr>
        <w:rPr>
          <w:rFonts w:cstheme="minorHAnsi"/>
          <w:szCs w:val="24"/>
        </w:rPr>
      </w:pPr>
      <w:r w:rsidRPr="00A8783D">
        <w:rPr>
          <w:rFonts w:cstheme="minorHAnsi"/>
          <w:szCs w:val="24"/>
        </w:rPr>
        <w:t>America: High GDP per capita aligns with elevated CO2 emissions, reflecting reliance on fossil fuels and a developed industrial sector.</w:t>
      </w:r>
    </w:p>
    <w:p w14:paraId="09F9A32F" w14:textId="77777777" w:rsidR="00A8783D" w:rsidRPr="00A8783D" w:rsidRDefault="00A8783D" w:rsidP="00A8783D">
      <w:pPr>
        <w:rPr>
          <w:rFonts w:cstheme="minorHAnsi"/>
          <w:szCs w:val="24"/>
        </w:rPr>
      </w:pPr>
    </w:p>
    <w:p w14:paraId="48F60B47" w14:textId="77777777" w:rsidR="00A8783D" w:rsidRPr="00A8783D" w:rsidRDefault="00A8783D" w:rsidP="00A8783D">
      <w:pPr>
        <w:rPr>
          <w:rFonts w:cstheme="minorHAnsi"/>
          <w:szCs w:val="24"/>
        </w:rPr>
      </w:pPr>
      <w:r w:rsidRPr="00A8783D">
        <w:rPr>
          <w:rFonts w:cstheme="minorHAnsi"/>
          <w:szCs w:val="24"/>
        </w:rPr>
        <w:t>Europe: Moderate correlation indicates a more sustainable model, with emphasis on renewables and environmental regulations.</w:t>
      </w:r>
    </w:p>
    <w:p w14:paraId="221B8E64" w14:textId="77777777" w:rsidR="00A8783D" w:rsidRPr="00A8783D" w:rsidRDefault="00A8783D" w:rsidP="00A8783D">
      <w:pPr>
        <w:rPr>
          <w:rFonts w:cstheme="minorHAnsi"/>
          <w:szCs w:val="24"/>
        </w:rPr>
      </w:pPr>
    </w:p>
    <w:p w14:paraId="163265E0" w14:textId="77777777" w:rsidR="00A8783D" w:rsidRPr="00A8783D" w:rsidRDefault="00A8783D" w:rsidP="00A8783D">
      <w:pPr>
        <w:rPr>
          <w:rFonts w:cstheme="minorHAnsi"/>
          <w:szCs w:val="24"/>
        </w:rPr>
      </w:pPr>
      <w:r w:rsidRPr="00A8783D">
        <w:rPr>
          <w:rFonts w:cstheme="minorHAnsi"/>
          <w:szCs w:val="24"/>
        </w:rPr>
        <w:lastRenderedPageBreak/>
        <w:t>Asia: Diverse economies yield varied relationships; rapid growth in some Asian countries corresponds with increased CO2 emissions.</w:t>
      </w:r>
    </w:p>
    <w:p w14:paraId="267B0A28" w14:textId="77777777" w:rsidR="00A8783D" w:rsidRPr="00A8783D" w:rsidRDefault="00A8783D" w:rsidP="00A8783D">
      <w:pPr>
        <w:rPr>
          <w:rFonts w:cstheme="minorHAnsi"/>
          <w:szCs w:val="24"/>
        </w:rPr>
      </w:pPr>
    </w:p>
    <w:p w14:paraId="00A268E4" w14:textId="77777777" w:rsidR="00A8783D" w:rsidRDefault="00A8783D" w:rsidP="00A8783D">
      <w:pPr>
        <w:rPr>
          <w:rFonts w:cstheme="minorHAnsi"/>
          <w:szCs w:val="24"/>
        </w:rPr>
      </w:pPr>
      <w:r w:rsidRPr="00A8783D">
        <w:rPr>
          <w:rFonts w:cstheme="minorHAnsi"/>
          <w:szCs w:val="24"/>
        </w:rPr>
        <w:t>Africa: Generally lower GDP per capita and CO2 emissions, influenced by economic challenges and varying industrialization levels</w:t>
      </w:r>
    </w:p>
    <w:p w14:paraId="0D0C3D25" w14:textId="697D2286" w:rsidR="00A8783D" w:rsidRDefault="00A8783D" w:rsidP="00A8783D">
      <w:pPr>
        <w:rPr>
          <w:rFonts w:cstheme="minorHAnsi"/>
          <w:szCs w:val="24"/>
        </w:rPr>
      </w:pPr>
      <w:r w:rsidRPr="00A8783D">
        <w:rPr>
          <w:rFonts w:cstheme="minorHAnsi"/>
          <w:szCs w:val="24"/>
        </w:rPr>
        <w:t>.</w:t>
      </w:r>
    </w:p>
    <w:p w14:paraId="5CBB613F" w14:textId="10893625" w:rsidR="00E76542" w:rsidRDefault="00A8783D" w:rsidP="00AB32D7">
      <w:pPr>
        <w:rPr>
          <w:rFonts w:cstheme="minorHAnsi"/>
          <w:szCs w:val="24"/>
        </w:rPr>
      </w:pPr>
      <w:r w:rsidRPr="00A8783D">
        <w:rPr>
          <w:rFonts w:cstheme="minorHAnsi"/>
          <w:szCs w:val="24"/>
        </w:rPr>
        <w:t>Oceania: Diverse relationships within the region; countries like Australia and New Zealand show a positive correlation, while smaller Pacific island nations prioritize sustainability, contributing less to global emissions.</w:t>
      </w:r>
    </w:p>
    <w:p w14:paraId="168B255E" w14:textId="77777777" w:rsidR="0087722A" w:rsidRDefault="0087722A" w:rsidP="00AB32D7">
      <w:pPr>
        <w:rPr>
          <w:rFonts w:cstheme="minorHAnsi"/>
          <w:szCs w:val="24"/>
        </w:rPr>
      </w:pPr>
    </w:p>
    <w:p w14:paraId="0B8C7799" w14:textId="341AE950" w:rsidR="0087722A" w:rsidRDefault="0087722A" w:rsidP="0087722A">
      <w:pPr>
        <w:rPr>
          <w:b/>
          <w:bCs/>
          <w:sz w:val="48"/>
          <w:szCs w:val="48"/>
        </w:rPr>
      </w:pPr>
      <w:r w:rsidRPr="00AB32D7">
        <w:rPr>
          <w:b/>
          <w:bCs/>
          <w:sz w:val="48"/>
          <w:szCs w:val="48"/>
        </w:rPr>
        <w:t xml:space="preserve">Practical Task </w:t>
      </w:r>
      <w:r>
        <w:rPr>
          <w:b/>
          <w:bCs/>
          <w:sz w:val="48"/>
          <w:szCs w:val="48"/>
        </w:rPr>
        <w:t>2</w:t>
      </w:r>
      <w:r w:rsidR="00904228">
        <w:rPr>
          <w:b/>
          <w:bCs/>
          <w:sz w:val="48"/>
          <w:szCs w:val="48"/>
        </w:rPr>
        <w:t xml:space="preserve"> </w:t>
      </w:r>
    </w:p>
    <w:p w14:paraId="769D19EA" w14:textId="3545B558" w:rsidR="0087722A" w:rsidRPr="0016205F" w:rsidRDefault="00904228" w:rsidP="00904228">
      <w:pPr>
        <w:pStyle w:val="a3"/>
        <w:numPr>
          <w:ilvl w:val="0"/>
          <w:numId w:val="6"/>
        </w:numPr>
        <w:ind w:leftChars="0"/>
        <w:rPr>
          <w:rFonts w:cstheme="minorHAnsi"/>
          <w:szCs w:val="24"/>
        </w:rPr>
      </w:pPr>
      <w:r>
        <w:t>Rooms per Dwelling</w:t>
      </w:r>
      <w:r>
        <w:t xml:space="preserve"> </w:t>
      </w:r>
      <w:r>
        <w:t xml:space="preserve">best </w:t>
      </w:r>
      <w:r>
        <w:t>represent</w:t>
      </w:r>
      <w:r>
        <w:t xml:space="preserve"> the population of Boston as a whole</w:t>
      </w:r>
      <w:r>
        <w:t>.</w:t>
      </w:r>
      <w:r>
        <w:t xml:space="preserve"> Boston has a low crime rate</w:t>
      </w:r>
      <w:r>
        <w:t xml:space="preserve"> since most of the </w:t>
      </w:r>
      <w:r w:rsidR="0016205F">
        <w:t>dwellings have a crime rate lower than 40%.</w:t>
      </w:r>
    </w:p>
    <w:p w14:paraId="2547E4E6" w14:textId="3DF5AD6E" w:rsidR="0016205F" w:rsidRPr="0016205F" w:rsidRDefault="0016205F" w:rsidP="0016205F">
      <w:pPr>
        <w:pStyle w:val="a3"/>
        <w:numPr>
          <w:ilvl w:val="0"/>
          <w:numId w:val="6"/>
        </w:numPr>
        <w:ind w:leftChars="0"/>
        <w:rPr>
          <w:rFonts w:cstheme="minorHAnsi"/>
          <w:szCs w:val="24"/>
        </w:rPr>
      </w:pPr>
      <w:r>
        <w:t>A</w:t>
      </w:r>
      <w:r>
        <w:t>verage number of rooms per dwelling in Boston</w:t>
      </w:r>
      <w:r>
        <w:t xml:space="preserve"> is 6.</w:t>
      </w:r>
    </w:p>
    <w:p w14:paraId="67FE2C6E" w14:textId="37A54DC7" w:rsidR="0016205F" w:rsidRPr="0016205F" w:rsidRDefault="0016205F" w:rsidP="0016205F">
      <w:pPr>
        <w:pStyle w:val="a3"/>
        <w:numPr>
          <w:ilvl w:val="0"/>
          <w:numId w:val="6"/>
        </w:numPr>
        <w:ind w:leftChars="0"/>
        <w:rPr>
          <w:rFonts w:cstheme="minorHAnsi"/>
          <w:szCs w:val="24"/>
        </w:rPr>
      </w:pPr>
      <w:r>
        <w:t>The more r</w:t>
      </w:r>
      <w:r>
        <w:t>ooms per Dwelling</w:t>
      </w:r>
      <w:r>
        <w:t xml:space="preserve"> have, the higher </w:t>
      </w:r>
      <w:r>
        <w:t>Median House Value</w:t>
      </w:r>
      <w:r>
        <w:t xml:space="preserve"> is.</w:t>
      </w:r>
    </w:p>
    <w:p w14:paraId="7B4CEB93" w14:textId="47C344E6" w:rsidR="0016205F" w:rsidRPr="0016205F" w:rsidRDefault="0016205F" w:rsidP="0016205F">
      <w:pPr>
        <w:pStyle w:val="a3"/>
        <w:numPr>
          <w:ilvl w:val="0"/>
          <w:numId w:val="6"/>
        </w:numPr>
        <w:ind w:leftChars="0"/>
        <w:rPr>
          <w:rFonts w:cstheme="minorHAnsi"/>
          <w:szCs w:val="24"/>
        </w:rPr>
      </w:pPr>
      <w:r>
        <w:t xml:space="preserve">the majority of the houses </w:t>
      </w:r>
      <w:r>
        <w:t xml:space="preserve">are </w:t>
      </w:r>
      <w:r>
        <w:t>relatively old</w:t>
      </w:r>
      <w:r>
        <w:t>.</w:t>
      </w:r>
    </w:p>
    <w:p w14:paraId="3F46E052" w14:textId="2179F05D" w:rsidR="0016205F" w:rsidRPr="00904228" w:rsidRDefault="0016205F" w:rsidP="0016205F">
      <w:pPr>
        <w:pStyle w:val="a3"/>
        <w:numPr>
          <w:ilvl w:val="0"/>
          <w:numId w:val="6"/>
        </w:numPr>
        <w:ind w:leftChars="0"/>
        <w:rPr>
          <w:rFonts w:cstheme="minorHAnsi" w:hint="eastAsia"/>
          <w:szCs w:val="24"/>
        </w:rPr>
      </w:pPr>
      <w:r>
        <w:t>The higher p</w:t>
      </w:r>
      <w:r>
        <w:t>ercentage of Units built before 1940</w:t>
      </w:r>
      <w:r>
        <w:t>,</w:t>
      </w:r>
      <w:r>
        <w:t xml:space="preserve"> the Median House Value</w:t>
      </w:r>
      <w:r>
        <w:t xml:space="preserve"> is lower.</w:t>
      </w:r>
    </w:p>
    <w:sectPr w:rsidR="0016205F" w:rsidRPr="0090422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87FE0"/>
    <w:multiLevelType w:val="hybridMultilevel"/>
    <w:tmpl w:val="FA8EC8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AF23D78"/>
    <w:multiLevelType w:val="hybridMultilevel"/>
    <w:tmpl w:val="B8148DC2"/>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 w15:restartNumberingAfterBreak="0">
    <w:nsid w:val="2F21391D"/>
    <w:multiLevelType w:val="hybridMultilevel"/>
    <w:tmpl w:val="B38C96C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37E4DE6"/>
    <w:multiLevelType w:val="hybridMultilevel"/>
    <w:tmpl w:val="041267A6"/>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 w15:restartNumberingAfterBreak="0">
    <w:nsid w:val="5F1E3C70"/>
    <w:multiLevelType w:val="hybridMultilevel"/>
    <w:tmpl w:val="AAD680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D01621D"/>
    <w:multiLevelType w:val="hybridMultilevel"/>
    <w:tmpl w:val="7F50C7A6"/>
    <w:lvl w:ilvl="0" w:tplc="A2A6267A">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66801517">
    <w:abstractNumId w:val="0"/>
  </w:num>
  <w:num w:numId="2" w16cid:durableId="800807317">
    <w:abstractNumId w:val="4"/>
  </w:num>
  <w:num w:numId="3" w16cid:durableId="1119491016">
    <w:abstractNumId w:val="3"/>
  </w:num>
  <w:num w:numId="4" w16cid:durableId="1435980567">
    <w:abstractNumId w:val="1"/>
  </w:num>
  <w:num w:numId="5" w16cid:durableId="60713464">
    <w:abstractNumId w:val="2"/>
  </w:num>
  <w:num w:numId="6" w16cid:durableId="20036585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D7"/>
    <w:rsid w:val="00050AC0"/>
    <w:rsid w:val="0016205F"/>
    <w:rsid w:val="001967B4"/>
    <w:rsid w:val="0087722A"/>
    <w:rsid w:val="00904228"/>
    <w:rsid w:val="00A8783D"/>
    <w:rsid w:val="00A94493"/>
    <w:rsid w:val="00AB32D7"/>
    <w:rsid w:val="00E765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D5077"/>
  <w15:chartTrackingRefBased/>
  <w15:docId w15:val="{44170941-55DE-4E37-AF83-A1976478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22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2D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395</Words>
  <Characters>2249</Characters>
  <Application>Microsoft Office Word</Application>
  <DocSecurity>0</DocSecurity>
  <Lines>56</Lines>
  <Paragraphs>24</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Au</dc:creator>
  <cp:keywords/>
  <dc:description/>
  <cp:lastModifiedBy>Damon Au</cp:lastModifiedBy>
  <cp:revision>3</cp:revision>
  <cp:lastPrinted>2024-01-31T00:42:00Z</cp:lastPrinted>
  <dcterms:created xsi:type="dcterms:W3CDTF">2024-01-21T21:37:00Z</dcterms:created>
  <dcterms:modified xsi:type="dcterms:W3CDTF">2024-01-31T00:42:00Z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0a9ed770-9498-4ef3-b72b-2a2cf27fb930</vt:lpwstr>
  </property>
</Properties>
</file>