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01/11/2024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4</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asignando nuevas tareas para los participantes, por parte de Bastian comienza con la creación de las notificaciones de los administradores hacia los usuarios. Por parte de Damaris comienza con la separación de usuarios estándar de los usuarios administradores, crear las modificación dentro de la aplicación para administradores y la creación de las funcionalidades para los administradores tales como la modificación de equipos o el agregar logros o partidos.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Se finaliza la sesión con los participantes dejando tareas pendientes para la próxima reunión.</w:t>
            </w:r>
          </w:p>
        </w:tc>
      </w:tr>
    </w:tbl>
    <w:p w:rsidR="00000000" w:rsidDel="00000000" w:rsidP="00000000" w:rsidRDefault="00000000" w:rsidRPr="00000000" w14:paraId="00000031">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-499218</wp:posOffset>
          </wp:positionV>
          <wp:extent cx="2209800" cy="367030"/>
          <wp:effectExtent b="0" l="0" r="0" t="0"/>
          <wp:wrapSquare wrapText="bothSides" distB="0" distT="0" distL="114300" distR="114300"/>
          <wp:docPr id="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lXT1He5Ae9OelO1GStZ7ypO6A==">CgMxLjA4AHIhMVBaYVBubFU2SUw2cm93WWVCQkx5MWttd19yRmVZN0py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