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Manual de Bienvenida</w:t>
      </w:r>
    </w:p>
    <w:p>
      <w:pPr>
        <w:pStyle w:val="Heading2"/>
        <w:jc w:val="left"/>
      </w:pPr>
      <w:r>
        <w:t>Nexus Soluciones S.A.C.</w:t>
      </w:r>
    </w:p>
    <w:p>
      <w:r>
        <w:t>Versión 3.1 | Fecha de emisión: Enero 2026 | Responsable: Gerencia de Recursos Humanos</w:t>
      </w:r>
    </w:p>
    <w:p/>
    <w:p>
      <w:pPr>
        <w:pStyle w:val="Heading2"/>
        <w:jc w:val="left"/>
      </w:pPr>
      <w:r>
        <w:t>1. Mensaje de Bienvenida del Gerente General</w:t>
      </w:r>
    </w:p>
    <w:p>
      <w:r>
        <w:rPr>
          <w:b w:val="0"/>
          <w:sz w:val="22"/>
        </w:rPr>
        <w:t>Estimado/a colaborador/a,</w:t>
      </w:r>
    </w:p>
    <w:p>
      <w:r>
        <w:rPr>
          <w:b w:val="0"/>
          <w:sz w:val="22"/>
        </w:rPr>
        <w:t>En nombre de todo el equipo de Nexus Soluciones S.A.C., te damos la más cordial bienvenida. Desde nuestra fundación el 14 de marzo de 2017, hemos construido una empresa donde la excelencia técnica y la integridad van de la mano. Hoy formas parte de un equipo de 148 personas comprometidas con transformar digitalmente a nuestros clientes, garantizando siempre la confidencialidad e integridad de su información.</w:t>
      </w:r>
    </w:p>
    <w:p>
      <w:r>
        <w:rPr>
          <w:b w:val="0"/>
          <w:sz w:val="22"/>
        </w:rPr>
        <w:t>Confiamos en tu talento y esperamos que este sea el inicio de una relación larga y exitosa.</w:t>
      </w:r>
    </w:p>
    <w:p>
      <w:r>
        <w:rPr>
          <w:b w:val="0"/>
          <w:sz w:val="22"/>
        </w:rPr>
        <w:t>Ricardo Mendoza Paredes</w:t>
        <w:br/>
        <w:t>Gerente General</w:t>
        <w:br/>
        <w:t>r.mendoza@nexussoluciones.pe | Ext. 101</w:t>
      </w:r>
    </w:p>
    <w:p>
      <w:pPr>
        <w:pStyle w:val="Heading2"/>
        <w:jc w:val="left"/>
      </w:pPr>
      <w:r>
        <w:t>2. Quiénes Somos</w:t>
      </w:r>
    </w:p>
    <w:p>
      <w:r>
        <w:rPr>
          <w:b w:val="0"/>
          <w:sz w:val="22"/>
        </w:rPr>
        <w:t>Nexus Soluciones S.A.C. (RUC 20601847392) es una empresa peruana especializada en desarrollo de software a medida, consultoría tecnológica e infraestructura cloud para el sector financiero, retail y salud. Contamos con certificaciones ISO 9001:2015 e ISO 27001:2022, lo que refleja nuestro compromiso con la calidad y la seguridad de la información.</w:t>
      </w:r>
    </w:p>
    <w:p>
      <w:pPr>
        <w:pStyle w:val="Heading2"/>
        <w:jc w:val="left"/>
      </w:pPr>
      <w:r>
        <w:t>3. Misión, Visión y Valores</w:t>
      </w:r>
    </w:p>
    <w:p>
      <w:r>
        <w:rPr>
          <w:b/>
          <w:sz w:val="22"/>
        </w:rPr>
        <w:t>Misión:</w:t>
      </w:r>
    </w:p>
    <w:p>
      <w:r>
        <w:rPr>
          <w:b w:val="0"/>
          <w:sz w:val="22"/>
        </w:rPr>
        <w:t>Transformar digitalmente a nuestros clientes mediante soluciones tecnológicas de alta calidad, asegurando la confidencialidad e integridad de su información.</w:t>
      </w:r>
    </w:p>
    <w:p>
      <w:r>
        <w:rPr>
          <w:b/>
          <w:sz w:val="22"/>
        </w:rPr>
        <w:t>Visión:</w:t>
      </w:r>
    </w:p>
    <w:p>
      <w:r>
        <w:rPr>
          <w:b w:val="0"/>
          <w:sz w:val="22"/>
        </w:rPr>
        <w:t>Ser la empresa de tecnología de referencia en el Perú para sectores con alta regulación de datos al año 2028.</w:t>
      </w:r>
    </w:p>
    <w:p>
      <w:r>
        <w:rPr>
          <w:b/>
          <w:sz w:val="22"/>
        </w:rPr>
        <w:t>Valores:</w:t>
      </w:r>
    </w:p>
    <w:p>
      <w:pPr>
        <w:pStyle w:val="ListBullet"/>
      </w:pPr>
      <w:r>
        <w:t>• Integridad</w:t>
      </w:r>
    </w:p>
    <w:p>
      <w:pPr>
        <w:pStyle w:val="ListBullet"/>
      </w:pPr>
      <w:r>
        <w:t>• Innovación</w:t>
      </w:r>
    </w:p>
    <w:p>
      <w:pPr>
        <w:pStyle w:val="ListBullet"/>
      </w:pPr>
      <w:r>
        <w:t>• Compromiso</w:t>
      </w:r>
    </w:p>
    <w:p>
      <w:pPr>
        <w:pStyle w:val="ListBullet"/>
      </w:pPr>
      <w:r>
        <w:t>• Confidencialidad</w:t>
      </w:r>
    </w:p>
    <w:p>
      <w:pPr>
        <w:pStyle w:val="ListBullet"/>
      </w:pPr>
      <w:r>
        <w:t>• Excelencia</w:t>
      </w:r>
    </w:p>
    <w:p>
      <w:pPr>
        <w:pStyle w:val="Heading2"/>
        <w:jc w:val="left"/>
      </w:pPr>
      <w:r>
        <w:t>4. Nuestras Sedes</w:t>
      </w:r>
    </w:p>
    <w:p>
      <w:r>
        <w:rPr>
          <w:b w:val="0"/>
          <w:sz w:val="22"/>
        </w:rPr>
        <w:t>Sede Principal — San Isidro:</w:t>
      </w:r>
    </w:p>
    <w:p>
      <w:r>
        <w:rPr>
          <w:b w:val="0"/>
          <w:sz w:val="22"/>
        </w:rPr>
        <w:t>Av. Javier Prado Este 4200, Pisos 8 y 9, San Isidro, Lima. Teléfono central: (01) 611-4200. Capacidad: 130 personas. Cuenta con estacionamiento.</w:t>
      </w:r>
    </w:p>
    <w:p>
      <w:r>
        <w:rPr>
          <w:b w:val="0"/>
          <w:sz w:val="22"/>
        </w:rPr>
        <w:t>Oficina de Proyectos — Miraflores:</w:t>
      </w:r>
    </w:p>
    <w:p>
      <w:r>
        <w:rPr>
          <w:b w:val="0"/>
          <w:sz w:val="22"/>
        </w:rPr>
        <w:t>Calle Berlín 1044, Piso 3, Miraflores, Lima. Capacidad: 40 personas.</w:t>
      </w:r>
    </w:p>
    <w:p>
      <w:pPr>
        <w:pStyle w:val="Heading2"/>
        <w:jc w:val="left"/>
      </w:pPr>
      <w:r>
        <w:t>5. Estructura Organizacional</w:t>
      </w:r>
    </w:p>
    <w:p>
      <w:r>
        <w:rPr>
          <w:b w:val="0"/>
          <w:sz w:val="22"/>
        </w:rPr>
        <w:t>Nexus cuenta con 7 áreas principales: Recursos Humanos (8 personas), Tecnología e Infraestructura (28), Desarrollo de Software (42), Consultoría y Proyectos (35), Finanzas y Administración (14), Legal y Compliance (5), y Ventas y Marketing (11).</w:t>
      </w:r>
    </w:p>
    <w:p>
      <w:pPr>
        <w:pStyle w:val="Heading2"/>
        <w:jc w:val="left"/>
      </w:pPr>
      <w:r>
        <w:t>6. Beneficios para Colaboradores</w:t>
      </w:r>
    </w:p>
    <w:p>
      <w:pPr>
        <w:pStyle w:val="ListBullet"/>
      </w:pPr>
      <w:r>
        <w:t>• 30 días de vacaciones al año</w:t>
      </w:r>
    </w:p>
    <w:p>
      <w:pPr>
        <w:pStyle w:val="ListBullet"/>
      </w:pPr>
      <w:r>
        <w:t>• EPS RIMAC con cobertura 70% empresa / 30% colaborador</w:t>
      </w:r>
    </w:p>
    <w:p>
      <w:pPr>
        <w:pStyle w:val="ListBullet"/>
      </w:pPr>
      <w:r>
        <w:t>• Seguro de vida</w:t>
      </w:r>
    </w:p>
    <w:p>
      <w:pPr>
        <w:pStyle w:val="ListBullet"/>
      </w:pPr>
      <w:r>
        <w:t>• Subvención de gimnasio: S/. 80 mensuales</w:t>
      </w:r>
    </w:p>
    <w:p>
      <w:pPr>
        <w:pStyle w:val="ListBullet"/>
      </w:pPr>
      <w:r>
        <w:t>• Día libre por cumpleaños</w:t>
      </w:r>
    </w:p>
    <w:p>
      <w:pPr>
        <w:pStyle w:val="ListBullet"/>
      </w:pPr>
      <w:r>
        <w:t>• 2 sesiones mensuales de apoyo psicológico gratuitas</w:t>
      </w:r>
    </w:p>
    <w:p>
      <w:pPr>
        <w:pStyle w:val="ListBullet"/>
      </w:pPr>
      <w:r>
        <w:t>• Cafetería subvencionada al 50% en San Isidro</w:t>
      </w:r>
    </w:p>
    <w:p>
      <w:pPr>
        <w:pStyle w:val="ListBullet"/>
      </w:pPr>
      <w:r>
        <w:t>• Modalidad híbrida: 2 días de trabajo remoto por semana (desde el 3.er mes)</w:t>
      </w:r>
    </w:p>
    <w:p>
      <w:pPr>
        <w:pStyle w:val="ListBullet"/>
      </w:pPr>
      <w:r>
        <w:t>• Clases de inglés gratuitas: martes y jueves 7:00–8:00 am (virtual)</w:t>
      </w:r>
    </w:p>
    <w:p>
      <w:pPr>
        <w:pStyle w:val="ListBullet"/>
      </w:pPr>
      <w:r>
        <w:t>• Bono de desempeño anual: hasta 1.5 sueldos</w:t>
      </w:r>
    </w:p>
    <w:p>
      <w:pPr>
        <w:pStyle w:val="Heading2"/>
        <w:jc w:val="left"/>
      </w:pPr>
      <w:r>
        <w:t>7. Horarios de Trabajo</w:t>
      </w:r>
    </w:p>
    <w:p>
      <w:r>
        <w:rPr>
          <w:b w:val="0"/>
          <w:sz w:val="22"/>
        </w:rPr>
        <w:t>La jornada estándar es de 48 horas semanales, 8 horas diarias. Contamos con tres turnos:</w:t>
      </w:r>
    </w:p>
    <w:tbl>
      <w:tblPr>
        <w:tblStyle w:val="TableGrid"/>
        <w:tblW w:type="auto" w:w="0"/>
        <w:tblLook w:firstColumn="1" w:firstRow="1" w:lastColumn="0" w:lastRow="0" w:noHBand="0" w:noVBand="1" w:val="04A0"/>
      </w:tblPr>
      <w:tblGrid>
        <w:gridCol w:w="2880"/>
        <w:gridCol w:w="2880"/>
        <w:gridCol w:w="2880"/>
      </w:tblGrid>
      <w:tr>
        <w:tc>
          <w:tcPr>
            <w:tcW w:type="dxa" w:w="2880"/>
          </w:tcPr>
          <w:p>
            <w:r>
              <w:t>Turno</w:t>
            </w:r>
          </w:p>
        </w:tc>
        <w:tc>
          <w:tcPr>
            <w:tcW w:type="dxa" w:w="2880"/>
          </w:tcPr>
          <w:p>
            <w:r>
              <w:t>Horario</w:t>
            </w:r>
          </w:p>
        </w:tc>
        <w:tc>
          <w:tcPr>
            <w:tcW w:type="dxa" w:w="2880"/>
          </w:tcPr>
          <w:p>
            <w:r>
              <w:t>Almuerzo</w:t>
            </w:r>
          </w:p>
        </w:tc>
      </w:tr>
      <w:tr>
        <w:tc>
          <w:tcPr>
            <w:tcW w:type="dxa" w:w="2880"/>
          </w:tcPr>
          <w:p>
            <w:r>
              <w:t>Turno A</w:t>
            </w:r>
          </w:p>
        </w:tc>
        <w:tc>
          <w:tcPr>
            <w:tcW w:type="dxa" w:w="2880"/>
          </w:tcPr>
          <w:p>
            <w:r>
              <w:t>08:00 – 17:30</w:t>
            </w:r>
          </w:p>
        </w:tc>
        <w:tc>
          <w:tcPr>
            <w:tcW w:type="dxa" w:w="2880"/>
          </w:tcPr>
          <w:p>
            <w:r>
              <w:t>1 hora de almuerzo</w:t>
            </w:r>
          </w:p>
        </w:tc>
      </w:tr>
      <w:tr>
        <w:tc>
          <w:tcPr>
            <w:tcW w:type="dxa" w:w="2880"/>
          </w:tcPr>
          <w:p>
            <w:r>
              <w:t>Turno B</w:t>
            </w:r>
          </w:p>
        </w:tc>
        <w:tc>
          <w:tcPr>
            <w:tcW w:type="dxa" w:w="2880"/>
          </w:tcPr>
          <w:p>
            <w:r>
              <w:t>09:00 – 18:30</w:t>
            </w:r>
          </w:p>
        </w:tc>
        <w:tc>
          <w:tcPr>
            <w:tcW w:type="dxa" w:w="2880"/>
          </w:tcPr>
          <w:p>
            <w:r>
              <w:t>1 hora de almuerzo</w:t>
            </w:r>
          </w:p>
        </w:tc>
      </w:tr>
      <w:tr>
        <w:tc>
          <w:tcPr>
            <w:tcW w:type="dxa" w:w="2880"/>
          </w:tcPr>
          <w:p>
            <w:r>
              <w:t>Turno C (solo Miraflores)</w:t>
            </w:r>
          </w:p>
        </w:tc>
        <w:tc>
          <w:tcPr>
            <w:tcW w:type="dxa" w:w="2880"/>
          </w:tcPr>
          <w:p>
            <w:r>
              <w:t>10:00 – 19:30</w:t>
            </w:r>
          </w:p>
        </w:tc>
        <w:tc>
          <w:tcPr>
            <w:tcW w:type="dxa" w:w="2880"/>
          </w:tcPr>
          <w:p>
            <w:r>
              <w:t>1 hora de almuerzo</w:t>
            </w:r>
          </w:p>
        </w:tc>
      </w:tr>
    </w:tbl>
    <w:p>
      <w:pPr>
        <w:pStyle w:val="Heading2"/>
        <w:jc w:val="left"/>
      </w:pPr>
      <w:r>
        <w:t>8. Contactos Clave para tu Primer Día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Área</w:t>
            </w:r>
          </w:p>
        </w:tc>
        <w:tc>
          <w:tcPr>
            <w:tcW w:type="dxa" w:w="2160"/>
          </w:tcPr>
          <w:p>
            <w:r>
              <w:t>Contacto</w:t>
            </w:r>
          </w:p>
        </w:tc>
        <w:tc>
          <w:tcPr>
            <w:tcW w:type="dxa" w:w="2160"/>
          </w:tcPr>
          <w:p>
            <w:r>
              <w:t>Email</w:t>
            </w:r>
          </w:p>
        </w:tc>
        <w:tc>
          <w:tcPr>
            <w:tcW w:type="dxa" w:w="2160"/>
          </w:tcPr>
          <w:p>
            <w:r>
              <w:t>Ext.</w:t>
            </w:r>
          </w:p>
        </w:tc>
      </w:tr>
      <w:tr>
        <w:tc>
          <w:tcPr>
            <w:tcW w:type="dxa" w:w="2160"/>
          </w:tcPr>
          <w:p>
            <w:r>
              <w:t>Recursos Humanos</w:t>
            </w:r>
          </w:p>
        </w:tc>
        <w:tc>
          <w:tcPr>
            <w:tcW w:type="dxa" w:w="2160"/>
          </w:tcPr>
          <w:p>
            <w:r>
              <w:t>Silvia Torres Vega</w:t>
            </w:r>
          </w:p>
        </w:tc>
        <w:tc>
          <w:tcPr>
            <w:tcW w:type="dxa" w:w="2160"/>
          </w:tcPr>
          <w:p>
            <w:r>
              <w:t>s.torres@nexussoluciones.pe</w:t>
            </w:r>
          </w:p>
        </w:tc>
        <w:tc>
          <w:tcPr>
            <w:tcW w:type="dxa" w:w="2160"/>
          </w:tcPr>
          <w:p>
            <w:r>
              <w:t>104</w:t>
            </w:r>
          </w:p>
        </w:tc>
      </w:tr>
      <w:tr>
        <w:tc>
          <w:tcPr>
            <w:tcW w:type="dxa" w:w="2160"/>
          </w:tcPr>
          <w:p>
            <w:r>
              <w:t>Mesa de Ayuda TI</w:t>
            </w:r>
          </w:p>
        </w:tc>
        <w:tc>
          <w:tcPr>
            <w:tcW w:type="dxa" w:w="2160"/>
          </w:tcPr>
          <w:p>
            <w:r>
              <w:t>Helpdesk</w:t>
            </w:r>
          </w:p>
        </w:tc>
        <w:tc>
          <w:tcPr>
            <w:tcW w:type="dxa" w:w="2160"/>
          </w:tcPr>
          <w:p>
            <w:r>
              <w:t>helpdesk@nexussoluciones.pe</w:t>
            </w:r>
          </w:p>
        </w:tc>
        <w:tc>
          <w:tcPr>
            <w:tcW w:type="dxa" w:w="2160"/>
          </w:tcPr>
          <w:p>
            <w:r>
              <w:t>300</w:t>
            </w:r>
          </w:p>
        </w:tc>
      </w:tr>
      <w:tr>
        <w:tc>
          <w:tcPr>
            <w:tcW w:type="dxa" w:w="2160"/>
          </w:tcPr>
          <w:p>
            <w:r>
              <w:t>Recepción San Isidro</w:t>
            </w:r>
          </w:p>
        </w:tc>
        <w:tc>
          <w:tcPr>
            <w:tcW w:type="dxa" w:w="2160"/>
          </w:tcPr>
          <w:p>
            <w:r>
              <w:t>—</w:t>
            </w:r>
          </w:p>
        </w:tc>
        <w:tc>
          <w:tcPr>
            <w:tcW w:type="dxa" w:w="2160"/>
          </w:tcPr>
          <w:p>
            <w:r>
              <w:t>(01) 611-4200</w:t>
            </w:r>
          </w:p>
        </w:tc>
        <w:tc>
          <w:tcPr>
            <w:tcW w:type="dxa" w:w="2160"/>
          </w:tcPr>
          <w:p>
            <w:r>
              <w:t>100</w:t>
            </w:r>
          </w:p>
        </w:tc>
      </w:tr>
    </w:tbl>
    <w:p>
      <w:pPr>
        <w:pStyle w:val="Heading2"/>
        <w:jc w:val="left"/>
      </w:pPr>
      <w:r>
        <w:t>Documentos Relacionados</w:t>
      </w:r>
    </w:p>
    <w:p>
      <w:r>
        <w:rPr>
          <w:sz w:val="22"/>
        </w:rPr>
        <w:t>Para una comprensión completa de los procesos y políticas de Nexus Soluciones S.A.C., se recomienda revisar los siguientes documentos internos:</w:t>
      </w:r>
    </w:p>
    <w:tbl>
      <w:tblPr>
        <w:tblStyle w:val="TableGrid"/>
        <w:tblW w:type="auto" w:w="0"/>
        <w:tblLook w:firstColumn="1" w:firstRow="1" w:lastColumn="0" w:lastRow="0" w:noHBand="0" w:noVBand="1" w:val="04A0"/>
      </w:tblPr>
      <w:tblGrid>
        <w:gridCol w:w="2880"/>
        <w:gridCol w:w="2880"/>
        <w:gridCol w:w="2880"/>
      </w:tblGrid>
      <w:tr>
        <w:tc>
          <w:tcPr>
            <w:tcW w:type="dxa" w:w="2880"/>
          </w:tcPr>
          <w:p>
            <w:r>
              <w:t>Código</w:t>
            </w:r>
          </w:p>
        </w:tc>
        <w:tc>
          <w:tcPr>
            <w:tcW w:type="dxa" w:w="2880"/>
          </w:tcPr>
          <w:p>
            <w:r>
              <w:t>Título del Documento</w:t>
            </w:r>
          </w:p>
        </w:tc>
        <w:tc>
          <w:tcPr>
            <w:tcW w:type="dxa" w:w="2880"/>
          </w:tcPr>
          <w:p>
            <w:r>
              <w:t>Relación</w:t>
            </w:r>
          </w:p>
        </w:tc>
      </w:tr>
      <w:tr>
        <w:tc>
          <w:tcPr>
            <w:tcW w:type="dxa" w:w="2880"/>
          </w:tcPr>
          <w:p>
            <w:r>
              <w:t>D02</w:t>
            </w:r>
          </w:p>
        </w:tc>
        <w:tc>
          <w:tcPr>
            <w:tcW w:type="dxa" w:w="2880"/>
          </w:tcPr>
          <w:p>
            <w:r>
              <w:t>Procedimiento de Onboarding de Nuevos Colaboradores</w:t>
            </w:r>
          </w:p>
        </w:tc>
        <w:tc>
          <w:tcPr>
            <w:tcW w:type="dxa" w:w="2880"/>
          </w:tcPr>
          <w:p>
            <w:r>
              <w:t>Complementario</w:t>
            </w:r>
          </w:p>
        </w:tc>
      </w:tr>
      <w:tr>
        <w:tc>
          <w:tcPr>
            <w:tcW w:type="dxa" w:w="2880"/>
          </w:tcPr>
          <w:p>
            <w:r>
              <w:t>D03</w:t>
            </w:r>
          </w:p>
        </w:tc>
        <w:tc>
          <w:tcPr>
            <w:tcW w:type="dxa" w:w="2880"/>
          </w:tcPr>
          <w:p>
            <w:r>
              <w:t>Política de Vacaciones, Licencias y Permisos</w:t>
            </w:r>
          </w:p>
        </w:tc>
        <w:tc>
          <w:tcPr>
            <w:tcW w:type="dxa" w:w="2880"/>
          </w:tcPr>
          <w:p>
            <w:r>
              <w:t>Complementario</w:t>
            </w:r>
          </w:p>
        </w:tc>
      </w:tr>
      <w:tr>
        <w:tc>
          <w:tcPr>
            <w:tcW w:type="dxa" w:w="2880"/>
          </w:tcPr>
          <w:p>
            <w:r>
              <w:t>D05</w:t>
            </w:r>
          </w:p>
        </w:tc>
        <w:tc>
          <w:tcPr>
            <w:tcW w:type="dxa" w:w="2880"/>
          </w:tcPr>
          <w:p>
            <w:r>
              <w:t>Reglamento de Evaluación de Desempeño y Compensaciones</w:t>
            </w:r>
          </w:p>
        </w:tc>
        <w:tc>
          <w:tcPr>
            <w:tcW w:type="dxa" w:w="2880"/>
          </w:tcPr>
          <w:p>
            <w:r>
              <w:t>Complementario</w:t>
            </w:r>
          </w:p>
        </w:tc>
      </w:tr>
      <w:tr>
        <w:tc>
          <w:tcPr>
            <w:tcW w:type="dxa" w:w="2880"/>
          </w:tcPr>
          <w:p>
            <w:r>
              <w:t>D15</w:t>
            </w:r>
          </w:p>
        </w:tc>
        <w:tc>
          <w:tcPr>
            <w:tcW w:type="dxa" w:w="2880"/>
          </w:tcPr>
          <w:p>
            <w:r>
              <w:t>Directorio Corporativo y Organigrama</w:t>
            </w:r>
          </w:p>
        </w:tc>
        <w:tc>
          <w:tcPr>
            <w:tcW w:type="dxa" w:w="2880"/>
          </w:tcPr>
          <w:p>
            <w:r>
              <w:t>Complementario</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Documento Interno — Uso Exclusivo de Colaboradores Nexus Soluciones S.A.C.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Nexus Soluciones S.A.C. — Manual de Bienvenida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