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Procedimiento de Onboarding de Nuevos Colaboradores</w:t>
      </w:r>
    </w:p>
    <w:p>
      <w:r>
        <w:t>Código: RRHH-PROC-001 | Versión: 2.4 | Fecha: Marzo 2026 | Propietario: Gerencia de RR.HH.</w:t>
      </w:r>
    </w:p>
    <w:p>
      <w:pPr>
        <w:pStyle w:val="Heading2"/>
        <w:jc w:val="left"/>
      </w:pPr>
      <w:r>
        <w:t>1. Objetivo</w:t>
      </w:r>
    </w:p>
    <w:p>
      <w:r>
        <w:rPr>
          <w:b w:val="0"/>
          <w:sz w:val="22"/>
        </w:rPr>
        <w:t>Establecer el proceso estándar para la incorporación efectiva de nuevos colaboradores a Nexus Soluciones S.A.C., garantizando que cuenten con los accesos, equipos, información y contexto necesarios para iniciar sus funciones de manera productiva.</w:t>
      </w:r>
    </w:p>
    <w:p>
      <w:pPr>
        <w:pStyle w:val="Heading2"/>
        <w:jc w:val="left"/>
      </w:pPr>
      <w:r>
        <w:t>2. Alcance</w:t>
      </w:r>
    </w:p>
    <w:p>
      <w:r>
        <w:rPr>
          <w:b w:val="0"/>
          <w:sz w:val="22"/>
        </w:rPr>
        <w:t>Aplica a todos los colaboradores que ingresen a planilla de Nexus Soluciones S.A.C. en cualquiera de sus sedes. El proceso de onboarding tiene una duración de 15 días calendario.</w:t>
      </w:r>
    </w:p>
    <w:p>
      <w:pPr>
        <w:pStyle w:val="Heading2"/>
        <w:jc w:val="left"/>
      </w:pPr>
      <w:r>
        <w:t>3. Responsables</w:t>
      </w:r>
    </w:p>
    <w:tbl>
      <w:tblPr>
        <w:tblStyle w:val="TableGrid"/>
        <w:tblW w:type="auto" w:w="0"/>
        <w:tblLook w:firstColumn="1" w:firstRow="1" w:lastColumn="0" w:lastRow="0" w:noHBand="0" w:noVBand="1" w:val="04A0"/>
      </w:tblPr>
      <w:tblGrid>
        <w:gridCol w:w="2880"/>
        <w:gridCol w:w="2880"/>
        <w:gridCol w:w="2880"/>
      </w:tblGrid>
      <w:tr>
        <w:tc>
          <w:tcPr>
            <w:tcW w:type="dxa" w:w="2880"/>
          </w:tcPr>
          <w:p>
            <w:r>
              <w:t>Rol</w:t>
            </w:r>
          </w:p>
        </w:tc>
        <w:tc>
          <w:tcPr>
            <w:tcW w:type="dxa" w:w="2880"/>
          </w:tcPr>
          <w:p>
            <w:r>
              <w:t>Responsable</w:t>
            </w:r>
          </w:p>
        </w:tc>
        <w:tc>
          <w:tcPr>
            <w:tcW w:type="dxa" w:w="2880"/>
          </w:tcPr>
          <w:p>
            <w:r>
              <w:t>Actividad Principal</w:t>
            </w:r>
          </w:p>
        </w:tc>
      </w:tr>
      <w:tr>
        <w:tc>
          <w:tcPr>
            <w:tcW w:type="dxa" w:w="2880"/>
          </w:tcPr>
          <w:p>
            <w:r>
              <w:t>Gerencia de RR.HH.</w:t>
            </w:r>
          </w:p>
        </w:tc>
        <w:tc>
          <w:tcPr>
            <w:tcW w:type="dxa" w:w="2880"/>
          </w:tcPr>
          <w:p>
            <w:r>
              <w:t>Silvia Torres Vega — s.torres@nexussoluciones.pe</w:t>
            </w:r>
          </w:p>
        </w:tc>
        <w:tc>
          <w:tcPr>
            <w:tcW w:type="dxa" w:w="2880"/>
          </w:tcPr>
          <w:p>
            <w:r>
              <w:t>Coordinación general del proceso, firma de contrato y NDA, asignación de buddy</w:t>
            </w:r>
          </w:p>
        </w:tc>
      </w:tr>
      <w:tr>
        <w:tc>
          <w:tcPr>
            <w:tcW w:type="dxa" w:w="2880"/>
          </w:tcPr>
          <w:p>
            <w:r>
              <w:t>Gerencia de TI</w:t>
            </w:r>
          </w:p>
        </w:tc>
        <w:tc>
          <w:tcPr>
            <w:tcW w:type="dxa" w:w="2880"/>
          </w:tcPr>
          <w:p>
            <w:r>
              <w:t>Andrés Flores Castillo — a.flores@nexussoluciones.pe</w:t>
            </w:r>
          </w:p>
        </w:tc>
        <w:tc>
          <w:tcPr>
            <w:tcW w:type="dxa" w:w="2880"/>
          </w:tcPr>
          <w:p>
            <w:r>
              <w:t>Provisión de equipos y credenciales de acceso</w:t>
            </w:r>
          </w:p>
        </w:tc>
      </w:tr>
      <w:tr>
        <w:tc>
          <w:tcPr>
            <w:tcW w:type="dxa" w:w="2880"/>
          </w:tcPr>
          <w:p>
            <w:r>
              <w:t>Jefe Directo</w:t>
            </w:r>
          </w:p>
        </w:tc>
        <w:tc>
          <w:tcPr>
            <w:tcW w:type="dxa" w:w="2880"/>
          </w:tcPr>
          <w:p>
            <w:r>
              <w:t>Según área asignada</w:t>
            </w:r>
          </w:p>
        </w:tc>
        <w:tc>
          <w:tcPr>
            <w:tcW w:type="dxa" w:w="2880"/>
          </w:tcPr>
          <w:p>
            <w:r>
              <w:t>Inducción técnica, presentación de equipo, asignación de primeras tareas</w:t>
            </w:r>
          </w:p>
        </w:tc>
      </w:tr>
      <w:tr>
        <w:tc>
          <w:tcPr>
            <w:tcW w:type="dxa" w:w="2880"/>
          </w:tcPr>
          <w:p>
            <w:r>
              <w:t>Buddy Asignado</w:t>
            </w:r>
          </w:p>
        </w:tc>
        <w:tc>
          <w:tcPr>
            <w:tcW w:type="dxa" w:w="2880"/>
          </w:tcPr>
          <w:p>
            <w:r>
              <w:t>Colega del área</w:t>
            </w:r>
          </w:p>
        </w:tc>
        <w:tc>
          <w:tcPr>
            <w:tcW w:type="dxa" w:w="2880"/>
          </w:tcPr>
          <w:p>
            <w:r>
              <w:t>Acompañamiento durante los primeros 30 días</w:t>
            </w:r>
          </w:p>
        </w:tc>
      </w:tr>
    </w:tbl>
    <w:p>
      <w:pPr>
        <w:pStyle w:val="Heading2"/>
        <w:jc w:val="left"/>
      </w:pPr>
      <w:r>
        <w:t>4. Cronograma del Proceso</w:t>
      </w:r>
    </w:p>
    <w:p>
      <w:r>
        <w:rPr>
          <w:b/>
          <w:sz w:val="22"/>
        </w:rPr>
        <w:t>Día 1</w:t>
      </w:r>
    </w:p>
    <w:p>
      <w:pPr>
        <w:pStyle w:val="ListBullet"/>
      </w:pPr>
      <w:r>
        <w:t>• Recepción por RR.HH. — Silvia Torres Vega o delegado (8:00 am, recepción San Isidro)</w:t>
      </w:r>
    </w:p>
    <w:p>
      <w:pPr>
        <w:pStyle w:val="ListBullet"/>
      </w:pPr>
      <w:r>
        <w:t>• Firma de contrato de trabajo y Acuerdo de No Divulgación (NDA)</w:t>
      </w:r>
    </w:p>
    <w:p>
      <w:pPr>
        <w:pStyle w:val="ListBullet"/>
      </w:pPr>
      <w:r>
        <w:t>• Entrega de equipos: laptop corporativa (Lenovo ThinkPad E14 Gen 4 o Dell Latitude 5540), teléfono IP, credencial de acceso físico y kit de bienvenida Nexus</w:t>
      </w:r>
    </w:p>
    <w:p>
      <w:pPr>
        <w:pStyle w:val="ListBullet"/>
      </w:pPr>
      <w:r>
        <w:t>• Creación de cuenta corporativa: formato nombre.apellido@nexussoluciones.pe</w:t>
      </w:r>
    </w:p>
    <w:p>
      <w:pPr>
        <w:pStyle w:val="ListBullet"/>
      </w:pPr>
      <w:r>
        <w:t>• Activación de MFA (Microsoft Authenticator) — obligatorio</w:t>
      </w:r>
    </w:p>
    <w:p>
      <w:pPr>
        <w:pStyle w:val="ListBullet"/>
      </w:pPr>
      <w:r>
        <w:t>• Recorrido guiado por instalaciones: ubicación de salas, cafetería, salidas de emergencia y puntos de reunión</w:t>
      </w:r>
    </w:p>
    <w:p>
      <w:r>
        <w:rPr>
          <w:b/>
          <w:sz w:val="22"/>
        </w:rPr>
        <w:t>Días 2–5</w:t>
      </w:r>
    </w:p>
    <w:p>
      <w:pPr>
        <w:pStyle w:val="ListBullet"/>
      </w:pPr>
      <w:r>
        <w:t>• Inducción corporativa: misión, visión, valores, certificaciones ISO, organigrama y cultura Nexus</w:t>
      </w:r>
    </w:p>
    <w:p>
      <w:pPr>
        <w:pStyle w:val="ListBullet"/>
      </w:pPr>
      <w:r>
        <w:t>• Inducción técnica con el área: herramientas, metodologías y proyectos vigentes</w:t>
      </w:r>
    </w:p>
    <w:p>
      <w:pPr>
        <w:pStyle w:val="ListBullet"/>
      </w:pPr>
      <w:r>
        <w:t>• Capacitación en herramientas internas: Jira, Confluence, GitLab, Microsoft Teams</w:t>
      </w:r>
    </w:p>
    <w:p>
      <w:pPr>
        <w:pStyle w:val="ListBullet"/>
      </w:pPr>
      <w:r>
        <w:t>• Presentación formal con el equipo directo y con la Gerencia de área</w:t>
      </w:r>
    </w:p>
    <w:p>
      <w:pPr>
        <w:pStyle w:val="ListBullet"/>
      </w:pPr>
      <w:r>
        <w:t>• Revisión del Código de Conducta y políticas de seguridad de la información</w:t>
      </w:r>
    </w:p>
    <w:p>
      <w:r>
        <w:rPr>
          <w:b/>
          <w:sz w:val="22"/>
        </w:rPr>
        <w:t>Días 6–10</w:t>
      </w:r>
    </w:p>
    <w:p>
      <w:pPr>
        <w:pStyle w:val="ListBullet"/>
      </w:pPr>
      <w:r>
        <w:t>• Shadowing con el buddy asignado: observación de flujos de trabajo reales</w:t>
      </w:r>
    </w:p>
    <w:p>
      <w:pPr>
        <w:pStyle w:val="ListBullet"/>
      </w:pPr>
      <w:r>
        <w:t>• Activación de acceso completo a sistemas según perfil de usuario aprobado por jefe directo</w:t>
      </w:r>
    </w:p>
    <w:p>
      <w:pPr>
        <w:pStyle w:val="ListBullet"/>
      </w:pPr>
      <w:r>
        <w:t>• Reunión 1:1 con Gerente de área (30 minutos mínimo)</w:t>
      </w:r>
    </w:p>
    <w:p>
      <w:pPr>
        <w:pStyle w:val="ListBullet"/>
      </w:pPr>
      <w:r>
        <w:t>• Acceso a Nexus Academy: plataforma de e-learning en intranet.nexussoluciones.pe/academy</w:t>
      </w:r>
    </w:p>
    <w:p>
      <w:r>
        <w:rPr>
          <w:b/>
          <w:sz w:val="22"/>
        </w:rPr>
        <w:t>Días 11–15</w:t>
      </w:r>
    </w:p>
    <w:p>
      <w:pPr>
        <w:pStyle w:val="ListBullet"/>
      </w:pPr>
      <w:r>
        <w:t>• Asignación de primeras tareas bajo supervisión del jefe directo</w:t>
      </w:r>
    </w:p>
    <w:p>
      <w:pPr>
        <w:pStyle w:val="ListBullet"/>
      </w:pPr>
      <w:r>
        <w:t>• Evaluación de inducción: cuestionario en intranet.nexussoluciones.pe/onboarding-eval</w:t>
      </w:r>
    </w:p>
    <w:p>
      <w:pPr>
        <w:pStyle w:val="ListBullet"/>
      </w:pPr>
      <w:r>
        <w:t>• Reunión de cierre con RR.HH.: feedback del proceso, dudas y próximos pasos</w:t>
      </w:r>
    </w:p>
    <w:p>
      <w:pPr>
        <w:pStyle w:val="ListBullet"/>
      </w:pPr>
      <w:r>
        <w:t>• Confirmación de período de prueba: 3 meses desde fecha de ingreso</w:t>
      </w:r>
    </w:p>
    <w:p>
      <w:pPr>
        <w:pStyle w:val="Heading2"/>
        <w:jc w:val="left"/>
      </w:pPr>
      <w:r>
        <w:t>5. Programa de Buddy</w:t>
      </w:r>
    </w:p>
    <w:p>
      <w:r>
        <w:rPr>
          <w:b w:val="0"/>
          <w:sz w:val="22"/>
        </w:rPr>
        <w:t>Cada colaborador nuevo tiene asignado un buddy del mismo departamento durante los primeros 30 días. El buddy es designado por el jefe directo y debe tener más de 6 meses en la empresa. Sus responsabilidades incluyen responder preguntas del día a día, presentar al equipo extendido y brindar contexto sobre la cultura del área.</w:t>
      </w:r>
    </w:p>
    <w:p>
      <w:pPr>
        <w:pStyle w:val="Heading2"/>
        <w:jc w:val="left"/>
      </w:pPr>
      <w:r>
        <w:t>6. Equipos Entregados en el Primer Día</w:t>
      </w:r>
    </w:p>
    <w:p>
      <w:pPr>
        <w:pStyle w:val="ListBullet"/>
      </w:pPr>
      <w:r>
        <w:t>• Laptop corporativa (Lenovo ThinkPad E14 Gen 4 o Dell Latitude 5540, imagen Windows 11 Pro)</w:t>
      </w:r>
    </w:p>
    <w:p>
      <w:pPr>
        <w:pStyle w:val="ListBullet"/>
      </w:pPr>
      <w:r>
        <w:t>• Teléfono IP de escritorio</w:t>
      </w:r>
    </w:p>
    <w:p>
      <w:pPr>
        <w:pStyle w:val="ListBullet"/>
      </w:pPr>
      <w:r>
        <w:t>• Credencial de acceso físico (tarjeta magnética)</w:t>
      </w:r>
    </w:p>
    <w:p>
      <w:pPr>
        <w:pStyle w:val="ListBullet"/>
      </w:pPr>
      <w:r>
        <w:t>• Kit de bienvenida Nexus (cuaderno, lapicero, lanyard corporativo)</w:t>
      </w:r>
    </w:p>
    <w:p>
      <w:r>
        <w:rPr>
          <w:b w:val="0"/>
          <w:sz w:val="22"/>
        </w:rPr>
        <w:t>Nota: El colaborador firma un acta de recepción de equipos en el Día 1. Es responsable de los equipos asignados durante toda su permanencia en la empresa.</w:t>
      </w:r>
    </w:p>
    <w:p>
      <w:pPr>
        <w:pStyle w:val="Heading2"/>
        <w:jc w:val="left"/>
      </w:pPr>
      <w:r>
        <w:t>7. Período de Prueba</w:t>
      </w:r>
    </w:p>
    <w:p>
      <w:r>
        <w:rPr>
          <w:b w:val="0"/>
          <w:sz w:val="22"/>
        </w:rPr>
        <w:t>El período de prueba es de 3 meses a partir de la fecha de ingreso. Durante este período, tanto el colaborador como la empresa pueden dar por concluida la relación laboral sin expresión de causa. Al finalizar el período de prueba, RR.HH. enviará al jefe directo un formulario de confirmación de colaborador.</w:t>
      </w:r>
    </w:p>
    <w:p>
      <w:pPr>
        <w:pStyle w:val="Heading2"/>
        <w:jc w:val="left"/>
      </w:pPr>
      <w:r>
        <w:t>Documentos Relacionados</w:t>
      </w:r>
    </w:p>
    <w:p>
      <w:r>
        <w:rPr>
          <w:sz w:val="22"/>
        </w:rPr>
        <w:t>Para una comprensión completa de los procesos y políticas de Nexus Soluciones S.A.C., se recomienda revisar los siguientes documentos internos:</w:t>
      </w:r>
    </w:p>
    <w:tbl>
      <w:tblPr>
        <w:tblStyle w:val="TableGrid"/>
        <w:tblW w:type="auto" w:w="0"/>
        <w:tblLook w:firstColumn="1" w:firstRow="1" w:lastColumn="0" w:lastRow="0" w:noHBand="0" w:noVBand="1" w:val="04A0"/>
      </w:tblPr>
      <w:tblGrid>
        <w:gridCol w:w="2880"/>
        <w:gridCol w:w="2880"/>
        <w:gridCol w:w="2880"/>
      </w:tblGrid>
      <w:tr>
        <w:tc>
          <w:tcPr>
            <w:tcW w:type="dxa" w:w="2880"/>
          </w:tcPr>
          <w:p>
            <w:r>
              <w:t>Código</w:t>
            </w:r>
          </w:p>
        </w:tc>
        <w:tc>
          <w:tcPr>
            <w:tcW w:type="dxa" w:w="2880"/>
          </w:tcPr>
          <w:p>
            <w:r>
              <w:t>Título del Documento</w:t>
            </w:r>
          </w:p>
        </w:tc>
        <w:tc>
          <w:tcPr>
            <w:tcW w:type="dxa" w:w="2880"/>
          </w:tcPr>
          <w:p>
            <w:r>
              <w:t>Relación</w:t>
            </w:r>
          </w:p>
        </w:tc>
      </w:tr>
      <w:tr>
        <w:tc>
          <w:tcPr>
            <w:tcW w:type="dxa" w:w="2880"/>
          </w:tcPr>
          <w:p>
            <w:r>
              <w:t>D01</w:t>
            </w:r>
          </w:p>
        </w:tc>
        <w:tc>
          <w:tcPr>
            <w:tcW w:type="dxa" w:w="2880"/>
          </w:tcPr>
          <w:p>
            <w:r>
              <w:t>Manual de Bienvenida</w:t>
            </w:r>
          </w:p>
        </w:tc>
        <w:tc>
          <w:tcPr>
            <w:tcW w:type="dxa" w:w="2880"/>
          </w:tcPr>
          <w:p>
            <w:r>
              <w:t>Complementario</w:t>
            </w:r>
          </w:p>
        </w:tc>
      </w:tr>
      <w:tr>
        <w:tc>
          <w:tcPr>
            <w:tcW w:type="dxa" w:w="2880"/>
          </w:tcPr>
          <w:p>
            <w:r>
              <w:t>D03</w:t>
            </w:r>
          </w:p>
        </w:tc>
        <w:tc>
          <w:tcPr>
            <w:tcW w:type="dxa" w:w="2880"/>
          </w:tcPr>
          <w:p>
            <w:r>
              <w:t>Política de Vacaciones, Licencias y Permisos</w:t>
            </w:r>
          </w:p>
        </w:tc>
        <w:tc>
          <w:tcPr>
            <w:tcW w:type="dxa" w:w="2880"/>
          </w:tcPr>
          <w:p>
            <w:r>
              <w:t>Complementario</w:t>
            </w:r>
          </w:p>
        </w:tc>
      </w:tr>
      <w:tr>
        <w:tc>
          <w:tcPr>
            <w:tcW w:type="dxa" w:w="2880"/>
          </w:tcPr>
          <w:p>
            <w:r>
              <w:t>D09</w:t>
            </w:r>
          </w:p>
        </w:tc>
        <w:tc>
          <w:tcPr>
            <w:tcW w:type="dxa" w:w="2880"/>
          </w:tcPr>
          <w:p>
            <w:r>
              <w:t>Política de Seguridad de la Información y Uso de Equipos TI</w:t>
            </w:r>
          </w:p>
        </w:tc>
        <w:tc>
          <w:tcPr>
            <w:tcW w:type="dxa" w:w="2880"/>
          </w:tcPr>
          <w:p>
            <w:r>
              <w:t>Complementario</w:t>
            </w:r>
          </w:p>
        </w:tc>
      </w:tr>
      <w:tr>
        <w:tc>
          <w:tcPr>
            <w:tcW w:type="dxa" w:w="2880"/>
          </w:tcPr>
          <w:p>
            <w:r>
              <w:t>D15</w:t>
            </w:r>
          </w:p>
        </w:tc>
        <w:tc>
          <w:tcPr>
            <w:tcW w:type="dxa" w:w="2880"/>
          </w:tcPr>
          <w:p>
            <w:r>
              <w:t>Directorio Corporativo y Organigrama</w:t>
            </w:r>
          </w:p>
        </w:tc>
        <w:tc>
          <w:tcPr>
            <w:tcW w:type="dxa" w:w="2880"/>
          </w:tcPr>
          <w:p>
            <w:r>
              <w:t>Complementario</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Documento Interno — Uso Exclusivo de Colaboradores Nexus Soluciones S.A.C.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Nexus Soluciones S.A.C. — Procedimiento de Onboarding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