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Política de Vacaciones, Licencias y Permisos</w:t>
      </w:r>
    </w:p>
    <w:p>
      <w:r>
        <w:t>Código: RRHH-POL-002 | Versión: 4.0 | Fecha: Enero 2026 | Propietario: Gerencia de RR.HH.</w:t>
      </w:r>
    </w:p>
    <w:p>
      <w:pPr>
        <w:pStyle w:val="Heading2"/>
        <w:jc w:val="left"/>
      </w:pPr>
      <w:r>
        <w:t>1. Vacaciones Anuales</w:t>
      </w:r>
    </w:p>
    <w:p>
      <w:r>
        <w:rPr>
          <w:b w:val="0"/>
          <w:sz w:val="22"/>
        </w:rPr>
        <w:t>Todo colaborador de Nexus Soluciones S.A.C. tiene derecho a 30 días calendario de vacaciones remuneradas por cada año completo de servicios, conforme a la legislación laboral peruana vigente.</w:t>
      </w:r>
    </w:p>
    <w:p>
      <w:pPr>
        <w:pStyle w:val="Heading3"/>
        <w:jc w:val="left"/>
      </w:pPr>
      <w:r>
        <w:t>1.1 Condiciones de Goce</w:t>
      </w:r>
    </w:p>
    <w:p>
      <w:pPr>
        <w:pStyle w:val="ListBullet"/>
      </w:pPr>
      <w:r>
        <w:t>• El período mínimo continuo de vacaciones es de 7 días calendario.</w:t>
      </w:r>
    </w:p>
    <w:p>
      <w:pPr>
        <w:pStyle w:val="ListBullet"/>
      </w:pPr>
      <w:r>
        <w:t>• Las vacaciones deben solicitarse con un mínimo de 15 días de anticipación.</w:t>
      </w:r>
    </w:p>
    <w:p>
      <w:pPr>
        <w:pStyle w:val="ListBullet"/>
      </w:pPr>
      <w:r>
        <w:t>• La aprobación requiere conformidad del jefe directo y registro en el Portal de RR.HH.: intranet.nexussoluciones.pe/vacaciones.</w:t>
      </w:r>
    </w:p>
    <w:p>
      <w:pPr>
        <w:pStyle w:val="ListBullet"/>
      </w:pPr>
      <w:r>
        <w:t>• Las vacaciones se abonan con la remuneración mensual completa correspondiente a los 30 días.</w:t>
      </w:r>
    </w:p>
    <w:p>
      <w:pPr>
        <w:pStyle w:val="ListBullet"/>
      </w:pPr>
      <w:r>
        <w:t>• Se pueden acumular hasta 15 días no gozados, que deben utilizarse antes del 31 de marzo del año siguiente. Los días no utilizados más allá de ese límite se abonan como vacaciones truncas.</w:t>
      </w:r>
    </w:p>
    <w:p>
      <w:pPr>
        <w:pStyle w:val="Heading3"/>
        <w:jc w:val="left"/>
      </w:pPr>
      <w:r>
        <w:t>1.2 Proceso de Solicitud</w:t>
      </w:r>
    </w:p>
    <w:p>
      <w:r>
        <w:t>1. Ingresar a intranet.nexussoluciones.pe/vacaciones con tus credenciales corporativas.</w:t>
      </w:r>
    </w:p>
    <w:p>
      <w:r>
        <w:t>2. Seleccionar las fechas deseadas y verificar el saldo disponible.</w:t>
      </w:r>
    </w:p>
    <w:p>
      <w:r>
        <w:t>3. Enviar solicitud: el sistema notifica automáticamente al jefe directo.</w:t>
      </w:r>
    </w:p>
    <w:p>
      <w:r>
        <w:t>4. El jefe directo aprueba o rechaza en un plazo máximo de 5 días hábiles.</w:t>
      </w:r>
    </w:p>
    <w:p>
      <w:r>
        <w:t>5. RR.HH. confirma el registro y notifica a planilla para el procesamiento del pago.</w:t>
      </w:r>
    </w:p>
    <w:p>
      <w:pPr>
        <w:pStyle w:val="Heading2"/>
        <w:jc w:val="left"/>
      </w:pPr>
      <w:r>
        <w:t>2. Licencias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Tipo de Licencia</w:t>
            </w:r>
          </w:p>
        </w:tc>
        <w:tc>
          <w:tcPr>
            <w:tcW w:type="dxa" w:w="2160"/>
          </w:tcPr>
          <w:p>
            <w:r>
              <w:t>Duración</w:t>
            </w:r>
          </w:p>
        </w:tc>
        <w:tc>
          <w:tcPr>
            <w:tcW w:type="dxa" w:w="2160"/>
          </w:tcPr>
          <w:p>
            <w:r>
              <w:t>Remunerada</w:t>
            </w:r>
          </w:p>
        </w:tc>
        <w:tc>
          <w:tcPr>
            <w:tcW w:type="dxa" w:w="2160"/>
          </w:tcPr>
          <w:p>
            <w:r>
              <w:t>Requisitos</w:t>
            </w:r>
          </w:p>
        </w:tc>
      </w:tr>
      <w:tr>
        <w:tc>
          <w:tcPr>
            <w:tcW w:type="dxa" w:w="2160"/>
          </w:tcPr>
          <w:p>
            <w:r>
              <w:t>Maternidad</w:t>
            </w:r>
          </w:p>
        </w:tc>
        <w:tc>
          <w:tcPr>
            <w:tcW w:type="dxa" w:w="2160"/>
          </w:tcPr>
          <w:p>
            <w:r>
              <w:t>98 días</w:t>
            </w:r>
          </w:p>
        </w:tc>
        <w:tc>
          <w:tcPr>
            <w:tcW w:type="dxa" w:w="2160"/>
          </w:tcPr>
          <w:p>
            <w:r>
              <w:t>Sí</w:t>
            </w:r>
          </w:p>
        </w:tc>
        <w:tc>
          <w:tcPr>
            <w:tcW w:type="dxa" w:w="2160"/>
          </w:tcPr>
          <w:p>
            <w:r>
              <w:t>49 días pre parto y 49 días post parto. Requiere certificado médico.</w:t>
            </w:r>
          </w:p>
        </w:tc>
      </w:tr>
      <w:tr>
        <w:tc>
          <w:tcPr>
            <w:tcW w:type="dxa" w:w="2160"/>
          </w:tcPr>
          <w:p>
            <w:r>
              <w:t>Paternidad</w:t>
            </w:r>
          </w:p>
        </w:tc>
        <w:tc>
          <w:tcPr>
            <w:tcW w:type="dxa" w:w="2160"/>
          </w:tcPr>
          <w:p>
            <w:r>
              <w:t>10 días</w:t>
            </w:r>
          </w:p>
        </w:tc>
        <w:tc>
          <w:tcPr>
            <w:tcW w:type="dxa" w:w="2160"/>
          </w:tcPr>
          <w:p>
            <w:r>
              <w:t>Sí</w:t>
            </w:r>
          </w:p>
        </w:tc>
        <w:tc>
          <w:tcPr>
            <w:tcW w:type="dxa" w:w="2160"/>
          </w:tcPr>
          <w:p>
            <w:r>
              <w:t>Desde el día del nacimiento. Presentar partida de nacimiento.</w:t>
            </w:r>
          </w:p>
        </w:tc>
      </w:tr>
      <w:tr>
        <w:tc>
          <w:tcPr>
            <w:tcW w:type="dxa" w:w="2160"/>
          </w:tcPr>
          <w:p>
            <w:r>
              <w:t>Matrimonio</w:t>
            </w:r>
          </w:p>
        </w:tc>
        <w:tc>
          <w:tcPr>
            <w:tcW w:type="dxa" w:w="2160"/>
          </w:tcPr>
          <w:p>
            <w:r>
              <w:t>5 días</w:t>
            </w:r>
          </w:p>
        </w:tc>
        <w:tc>
          <w:tcPr>
            <w:tcW w:type="dxa" w:w="2160"/>
          </w:tcPr>
          <w:p>
            <w:r>
              <w:t>Sí</w:t>
            </w:r>
          </w:p>
        </w:tc>
        <w:tc>
          <w:tcPr>
            <w:tcW w:type="dxa" w:w="2160"/>
          </w:tcPr>
          <w:p>
            <w:r>
              <w:t>Dentro de los 15 días calendario de celebrado el matrimonio.</w:t>
            </w:r>
          </w:p>
        </w:tc>
      </w:tr>
      <w:tr>
        <w:tc>
          <w:tcPr>
            <w:tcW w:type="dxa" w:w="2160"/>
          </w:tcPr>
          <w:p>
            <w:r>
              <w:t>Fallecimiento familiar directo</w:t>
            </w:r>
          </w:p>
        </w:tc>
        <w:tc>
          <w:tcPr>
            <w:tcW w:type="dxa" w:w="2160"/>
          </w:tcPr>
          <w:p>
            <w:r>
              <w:t>5 días</w:t>
            </w:r>
          </w:p>
        </w:tc>
        <w:tc>
          <w:tcPr>
            <w:tcW w:type="dxa" w:w="2160"/>
          </w:tcPr>
          <w:p>
            <w:r>
              <w:t>Sí</w:t>
            </w:r>
          </w:p>
        </w:tc>
        <w:tc>
          <w:tcPr>
            <w:tcW w:type="dxa" w:w="2160"/>
          </w:tcPr>
          <w:p>
            <w:r>
              <w:t>Cónyuge, hijos o padres. Presentar partida de defunción.</w:t>
            </w:r>
          </w:p>
        </w:tc>
      </w:tr>
      <w:tr>
        <w:tc>
          <w:tcPr>
            <w:tcW w:type="dxa" w:w="2160"/>
          </w:tcPr>
          <w:p>
            <w:r>
              <w:t>Fallecimiento familiar indirecto</w:t>
            </w:r>
          </w:p>
        </w:tc>
        <w:tc>
          <w:tcPr>
            <w:tcW w:type="dxa" w:w="2160"/>
          </w:tcPr>
          <w:p>
            <w:r>
              <w:t>3 días</w:t>
            </w:r>
          </w:p>
        </w:tc>
        <w:tc>
          <w:tcPr>
            <w:tcW w:type="dxa" w:w="2160"/>
          </w:tcPr>
          <w:p>
            <w:r>
              <w:t>Sí</w:t>
            </w:r>
          </w:p>
        </w:tc>
        <w:tc>
          <w:tcPr>
            <w:tcW w:type="dxa" w:w="2160"/>
          </w:tcPr>
          <w:p>
            <w:r>
              <w:t>Hermanos o abuelos. Presentar partida de defunción.</w:t>
            </w:r>
          </w:p>
        </w:tc>
      </w:tr>
      <w:tr>
        <w:tc>
          <w:tcPr>
            <w:tcW w:type="dxa" w:w="2160"/>
          </w:tcPr>
          <w:p>
            <w:r>
              <w:t>Enfermedad con certificado médico</w:t>
            </w:r>
          </w:p>
        </w:tc>
        <w:tc>
          <w:tcPr>
            <w:tcW w:type="dxa" w:w="2160"/>
          </w:tcPr>
          <w:p>
            <w:r>
              <w:t>Según indicación</w:t>
            </w:r>
          </w:p>
        </w:tc>
        <w:tc>
          <w:tcPr>
            <w:tcW w:type="dxa" w:w="2160"/>
          </w:tcPr>
          <w:p>
            <w:r>
              <w:t>Sí</w:t>
            </w:r>
          </w:p>
        </w:tc>
        <w:tc>
          <w:tcPr>
            <w:tcW w:type="dxa" w:w="2160"/>
          </w:tcPr>
          <w:p>
            <w:r>
              <w:t>Certificado de ESSALUD o médico autorizado. Desde el 4.° día cubre ESSALUD.</w:t>
            </w:r>
          </w:p>
        </w:tc>
      </w:tr>
      <w:tr>
        <w:tc>
          <w:tcPr>
            <w:tcW w:type="dxa" w:w="2160"/>
          </w:tcPr>
          <w:p>
            <w:r>
              <w:t>Adopción</w:t>
            </w:r>
          </w:p>
        </w:tc>
        <w:tc>
          <w:tcPr>
            <w:tcW w:type="dxa" w:w="2160"/>
          </w:tcPr>
          <w:p>
            <w:r>
              <w:t>30 días</w:t>
            </w:r>
          </w:p>
        </w:tc>
        <w:tc>
          <w:tcPr>
            <w:tcW w:type="dxa" w:w="2160"/>
          </w:tcPr>
          <w:p>
            <w:r>
              <w:t>Sí</w:t>
            </w:r>
          </w:p>
        </w:tc>
        <w:tc>
          <w:tcPr>
            <w:tcW w:type="dxa" w:w="2160"/>
          </w:tcPr>
          <w:p>
            <w:r>
              <w:t>Resolución judicial de adopción requerida.</w:t>
            </w:r>
          </w:p>
        </w:tc>
      </w:tr>
    </w:tbl>
    <w:p>
      <w:pPr>
        <w:pStyle w:val="Heading2"/>
        <w:jc w:val="left"/>
      </w:pPr>
      <w:r>
        <w:t>3. Permisos</w:t>
      </w:r>
    </w:p>
    <w:p>
      <w:r>
        <w:rPr>
          <w:b w:val="0"/>
          <w:sz w:val="22"/>
        </w:rPr>
        <w:t>Los permisos personales permiten al colaborador ausentarse hasta 4 horas continuas, un máximo de 2 veces al mes. Los permisos personales no son remunerados y deben compensarse con horas adicionales en la misma semana, coordinadas con el jefe directo. Se solicitan por correo electrónico al jefe directo con un mínimo de 24 horas de anticipación, salvo emergencias.</w:t>
      </w:r>
    </w:p>
    <w:p>
      <w:pPr>
        <w:pStyle w:val="Heading2"/>
        <w:jc w:val="left"/>
      </w:pPr>
      <w:r>
        <w:t>4. Contacto para Consultas</w:t>
      </w:r>
    </w:p>
    <w:p>
      <w:r>
        <w:rPr>
          <w:b w:val="0"/>
          <w:sz w:val="22"/>
        </w:rPr>
        <w:t>Gerencia de Recursos Humanos</w:t>
        <w:br/>
        <w:t>Silvia Torres Vega — s.torres@nexussoluciones.pe — Ext. 104</w:t>
        <w:br/>
        <w:t>Lucía Romero Díaz (Selección) — l.romero@nexussoluciones.pe — Ext. 201</w:t>
        <w:br/>
        <w:t>Jorge Palacios Ríos (Compensaciones) — j.palacios@nexussoluciones.pe — Ext. 202</w:t>
      </w:r>
    </w:p>
    <w:p>
      <w:pPr>
        <w:pStyle w:val="Heading2"/>
        <w:jc w:val="left"/>
      </w:pPr>
      <w:r>
        <w:t>Documentos Relacionados</w:t>
      </w:r>
    </w:p>
    <w:p>
      <w:r>
        <w:rPr>
          <w:sz w:val="22"/>
        </w:rPr>
        <w:t>Para una comprensión completa de los procesos y políticas de Nexus Soluciones S.A.C., se recomienda revisar los siguientes documentos internos:</w:t>
      </w:r>
    </w:p>
    <w:tbl>
      <w:tblPr>
        <w:tblStyle w:val="TableGrid"/>
        <w:tblW w:type="auto" w:w="0"/>
        <w:tblLook w:firstColumn="1" w:firstRow="1" w:lastColumn="0" w:lastRow="0" w:noHBand="0" w:noVBand="1" w:val="04A0"/>
      </w:tblPr>
      <w:tblGrid>
        <w:gridCol w:w="2880"/>
        <w:gridCol w:w="2880"/>
        <w:gridCol w:w="2880"/>
      </w:tblGrid>
      <w:tr>
        <w:tc>
          <w:tcPr>
            <w:tcW w:type="dxa" w:w="2880"/>
          </w:tcPr>
          <w:p>
            <w:r>
              <w:t>Código</w:t>
            </w:r>
          </w:p>
        </w:tc>
        <w:tc>
          <w:tcPr>
            <w:tcW w:type="dxa" w:w="2880"/>
          </w:tcPr>
          <w:p>
            <w:r>
              <w:t>Título del Documento</w:t>
            </w:r>
          </w:p>
        </w:tc>
        <w:tc>
          <w:tcPr>
            <w:tcW w:type="dxa" w:w="2880"/>
          </w:tcPr>
          <w:p>
            <w:r>
              <w:t>Relación</w:t>
            </w:r>
          </w:p>
        </w:tc>
      </w:tr>
      <w:tr>
        <w:tc>
          <w:tcPr>
            <w:tcW w:type="dxa" w:w="2880"/>
          </w:tcPr>
          <w:p>
            <w:r>
              <w:t>D01</w:t>
            </w:r>
          </w:p>
        </w:tc>
        <w:tc>
          <w:tcPr>
            <w:tcW w:type="dxa" w:w="2880"/>
          </w:tcPr>
          <w:p>
            <w:r>
              <w:t>Manual de Bienvenida</w:t>
            </w:r>
          </w:p>
        </w:tc>
        <w:tc>
          <w:tcPr>
            <w:tcW w:type="dxa" w:w="2880"/>
          </w:tcPr>
          <w:p>
            <w:r>
              <w:t>Complementario</w:t>
            </w:r>
          </w:p>
        </w:tc>
      </w:tr>
      <w:tr>
        <w:tc>
          <w:tcPr>
            <w:tcW w:type="dxa" w:w="2880"/>
          </w:tcPr>
          <w:p>
            <w:r>
              <w:t>D04</w:t>
            </w:r>
          </w:p>
        </w:tc>
        <w:tc>
          <w:tcPr>
            <w:tcW w:type="dxa" w:w="2880"/>
          </w:tcPr>
          <w:p>
            <w:r>
              <w:t>Política de Trabajo Remoto e Híbrido</w:t>
            </w:r>
          </w:p>
        </w:tc>
        <w:tc>
          <w:tcPr>
            <w:tcW w:type="dxa" w:w="2880"/>
          </w:tcPr>
          <w:p>
            <w:r>
              <w:t>Complementario</w:t>
            </w:r>
          </w:p>
        </w:tc>
      </w:tr>
      <w:tr>
        <w:tc>
          <w:tcPr>
            <w:tcW w:type="dxa" w:w="2880"/>
          </w:tcPr>
          <w:p>
            <w:r>
              <w:t>D05</w:t>
            </w:r>
          </w:p>
        </w:tc>
        <w:tc>
          <w:tcPr>
            <w:tcW w:type="dxa" w:w="2880"/>
          </w:tcPr>
          <w:p>
            <w:r>
              <w:t>Reglamento de Evaluación de Desempeño y Compensaciones</w:t>
            </w:r>
          </w:p>
        </w:tc>
        <w:tc>
          <w:tcPr>
            <w:tcW w:type="dxa" w:w="2880"/>
          </w:tcPr>
          <w:p>
            <w:r>
              <w:t>Complementario</w:t>
            </w:r>
          </w:p>
        </w:tc>
      </w:tr>
      <w:tr>
        <w:tc>
          <w:tcPr>
            <w:tcW w:type="dxa" w:w="2880"/>
          </w:tcPr>
          <w:p>
            <w:r>
              <w:t>D15</w:t>
            </w:r>
          </w:p>
        </w:tc>
        <w:tc>
          <w:tcPr>
            <w:tcW w:type="dxa" w:w="2880"/>
          </w:tcPr>
          <w:p>
            <w:r>
              <w:t>Directorio Corporativo y Organigrama</w:t>
            </w:r>
          </w:p>
        </w:tc>
        <w:tc>
          <w:tcPr>
            <w:tcW w:type="dxa" w:w="2880"/>
          </w:tcPr>
          <w:p>
            <w:r>
              <w:t>Complementario</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Documento Interno — Uso Exclusivo de Colaboradores Nexus Soluciones S.A.C.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Nexus Soluciones S.A.C. — Política de Vacaciones, Licencias y Permisos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