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Política de Trabajo Remoto e Híbrido</w:t>
      </w:r>
    </w:p>
    <w:p>
      <w:r>
        <w:t>Código: RRHH-POL-003 | Versión: 2.1 | Fecha: Enero 2026 | Propietario: Gerencia de RR.HH. y CTO</w:t>
      </w:r>
    </w:p>
    <w:p>
      <w:pPr>
        <w:pStyle w:val="Heading2"/>
        <w:jc w:val="left"/>
      </w:pPr>
      <w:r>
        <w:t>1. Modalidad Vigente</w:t>
      </w:r>
    </w:p>
    <w:p>
      <w:r>
        <w:rPr>
          <w:b w:val="0"/>
          <w:sz w:val="22"/>
        </w:rPr>
        <w:t>Nexus Soluciones S.A.C. opera bajo modalidad híbrida. Cada colaborador puede trabajar de forma remota hasta 2 días por semana, previa coordinación con su jefe directo.</w:t>
      </w:r>
    </w:p>
    <w:p>
      <w:pPr>
        <w:pStyle w:val="Heading2"/>
        <w:jc w:val="left"/>
      </w:pPr>
      <w:r>
        <w:t>2. Elegibilidad</w:t>
      </w:r>
    </w:p>
    <w:p>
      <w:r>
        <w:rPr>
          <w:b w:val="0"/>
          <w:sz w:val="22"/>
        </w:rPr>
        <w:t>Para acceder al trabajo remoto el colaborador debe:</w:t>
      </w:r>
    </w:p>
    <w:p>
      <w:pPr>
        <w:pStyle w:val="ListBullet"/>
      </w:pPr>
      <w:r>
        <w:t>• Haber completado los primeros 3 meses de permanencia en la empresa.</w:t>
      </w:r>
    </w:p>
    <w:p>
      <w:pPr>
        <w:pStyle w:val="ListBullet"/>
      </w:pPr>
      <w:r>
        <w:t>• Tener un desempeño evaluado como 'Cumple expectativas' o superior en su última evaluación.</w:t>
      </w:r>
    </w:p>
    <w:p>
      <w:pPr>
        <w:pStyle w:val="ListBullet"/>
      </w:pPr>
      <w:r>
        <w:t>• Contar con la aprobación de su jefe directo.</w:t>
      </w:r>
    </w:p>
    <w:p>
      <w:pPr>
        <w:pStyle w:val="ListBullet"/>
      </w:pPr>
      <w:r>
        <w:t>• Los roles que requieren presencia física permanente (soporte en sitio, acceso físico a equipos de infraestructura) no aplican a esta política.</w:t>
      </w:r>
    </w:p>
    <w:p>
      <w:pPr>
        <w:pStyle w:val="Heading2"/>
        <w:jc w:val="left"/>
      </w:pPr>
      <w:r>
        <w:t>3. Requisitos Técnicos del Entorno Remoto</w:t>
      </w:r>
    </w:p>
    <w:p>
      <w:pPr>
        <w:pStyle w:val="ListBullet"/>
      </w:pPr>
      <w:r>
        <w:t>• Conexión a internet con velocidad mínima de 25 Mbps (subida y bajada).</w:t>
      </w:r>
    </w:p>
    <w:p>
      <w:pPr>
        <w:pStyle w:val="ListBullet"/>
      </w:pPr>
      <w:r>
        <w:t>• Espacio de trabajo privado, silencioso y adecuado para videollamadas.</w:t>
      </w:r>
    </w:p>
    <w:p>
      <w:pPr>
        <w:pStyle w:val="ListBullet"/>
      </w:pPr>
      <w:r>
        <w:t>• VPN corporativa activa: Cisco AnyConnect. Solicitar acceso a helpdesk@nexussoluciones.pe (Ext. 300).</w:t>
      </w:r>
    </w:p>
    <w:p>
      <w:pPr>
        <w:pStyle w:val="ListBullet"/>
      </w:pPr>
      <w:r>
        <w:t>• Disponibilidad completa en el horario laboral acordado (Turno A, B o C según corresponda).</w:t>
      </w:r>
    </w:p>
    <w:p>
      <w:pPr>
        <w:pStyle w:val="ListBullet"/>
      </w:pPr>
      <w:r>
        <w:t>• Equipo corporativo asignado por TI (no se permite uso de equipos personales para trabajo con datos de clientes).</w:t>
      </w:r>
    </w:p>
    <w:p>
      <w:pPr>
        <w:pStyle w:val="Heading2"/>
        <w:jc w:val="left"/>
      </w:pPr>
      <w:r>
        <w:t>4. Equipamiento para el Hogar</w:t>
      </w:r>
    </w:p>
    <w:p>
      <w:r>
        <w:rPr>
          <w:b w:val="0"/>
          <w:sz w:val="22"/>
        </w:rPr>
        <w:t>La empresa provee un monitor externo adicional previa solicitud formal al área de TI a través del formulario en intranet.nexussoluciones.pe/solicitudes-ti. La solicitud requiere aprobación del jefe directo y disponibilidad de inventario.</w:t>
      </w:r>
    </w:p>
    <w:p>
      <w:pPr>
        <w:pStyle w:val="Heading2"/>
        <w:jc w:val="left"/>
      </w:pPr>
      <w:r>
        <w:t>5. Proceso de Activación</w:t>
      </w:r>
    </w:p>
    <w:p>
      <w:r>
        <w:t>1. El colaborador acuerda los días de trabajo remoto con su jefe directo.</w:t>
      </w:r>
    </w:p>
    <w:p>
      <w:r>
        <w:t>2. El jefe directo registra el acuerdo en intranet.nexussoluciones.pe/trabajo-remoto.</w:t>
      </w:r>
    </w:p>
    <w:p>
      <w:r>
        <w:t>3. TI verifica que el colaborador tenga VPN activa y equipo corporativo en buen estado.</w:t>
      </w:r>
    </w:p>
    <w:p>
      <w:r>
        <w:t>4. RR.HH. valida el cumplimiento del período mínimo de permanencia.</w:t>
      </w:r>
    </w:p>
    <w:p>
      <w:r>
        <w:t>5. El acuerdo puede revisarse semestralmente o ante cambio de proyecto.</w:t>
      </w:r>
    </w:p>
    <w:p>
      <w:pPr>
        <w:pStyle w:val="Heading2"/>
        <w:jc w:val="left"/>
      </w:pPr>
      <w:r>
        <w:t>6. Obligaciones en Modalidad Remota</w:t>
      </w:r>
    </w:p>
    <w:p>
      <w:pPr>
        <w:pStyle w:val="ListBullet"/>
      </w:pPr>
      <w:r>
        <w:t>• Mantener la VPN activa durante toda la jornada laboral al usar sistemas internos.</w:t>
      </w:r>
    </w:p>
    <w:p>
      <w:pPr>
        <w:pStyle w:val="ListBullet"/>
      </w:pPr>
      <w:r>
        <w:t>• Responder mensajes en Teams y correo en máximo 30 minutos durante horario laboral.</w:t>
      </w:r>
    </w:p>
    <w:p>
      <w:pPr>
        <w:pStyle w:val="ListBullet"/>
      </w:pPr>
      <w:r>
        <w:t>• Asistir a reuniones con cámara encendida cuando sea solicitado.</w:t>
      </w:r>
    </w:p>
    <w:p>
      <w:pPr>
        <w:pStyle w:val="ListBullet"/>
      </w:pPr>
      <w:r>
        <w:t>• No trabajar desde espacios públicos (cafeterías, aeropuertos) con información confidencial o datos de clientes sin aprobación del CISO.</w:t>
      </w:r>
    </w:p>
    <w:p>
      <w:pPr>
        <w:pStyle w:val="ListBullet"/>
      </w:pPr>
      <w:r>
        <w:t>• Reportar cualquier incidente de seguridad inmediatamente a helpdesk@nexussoluciones.pe.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D03</w:t>
            </w:r>
          </w:p>
        </w:tc>
        <w:tc>
          <w:tcPr>
            <w:tcW w:type="dxa" w:w="2880"/>
          </w:tcPr>
          <w:p>
            <w:r>
              <w:t>Política de Vacaciones, Licencias y Permisos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Procedimiento de Gestión de Incidentes de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Política de Trabajo Remoto e Híbrido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