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Reglamento de Evaluación de Desempeño y Compensaciones</w:t>
      </w:r>
    </w:p>
    <w:p>
      <w:r>
        <w:t>Código: RRHH-POL-004 | Versión: 3.2 | Fecha: Enero 2026 | Propietario: Gerencia de RR.HH.</w:t>
      </w:r>
    </w:p>
    <w:p>
      <w:pPr>
        <w:pStyle w:val="Heading2"/>
        <w:jc w:val="left"/>
      </w:pPr>
      <w:r>
        <w:t>1. Ciclos de Evaluación</w:t>
      </w:r>
    </w:p>
    <w:p>
      <w:r>
        <w:rPr>
          <w:b w:val="0"/>
          <w:sz w:val="22"/>
        </w:rPr>
        <w:t>Nexus Soluciones realiza evaluaciones de desempeño dos veces al año bajo metodología 180 grados (autoevaluación + evaluación del jefe directo):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Ciclo</w:t>
            </w:r>
          </w:p>
        </w:tc>
        <w:tc>
          <w:tcPr>
            <w:tcW w:type="dxa" w:w="2160"/>
          </w:tcPr>
          <w:p>
            <w:r>
              <w:t>Período de Evaluación</w:t>
            </w:r>
          </w:p>
        </w:tc>
        <w:tc>
          <w:tcPr>
            <w:tcW w:type="dxa" w:w="2160"/>
          </w:tcPr>
          <w:p>
            <w:r>
              <w:t>Resultados</w:t>
            </w:r>
          </w:p>
        </w:tc>
        <w:tc>
          <w:tcPr>
            <w:tcW w:type="dxa" w:w="2160"/>
          </w:tcPr>
          <w:p>
            <w:r>
              <w:t>Propósito</w:t>
            </w:r>
          </w:p>
        </w:tc>
      </w:tr>
      <w:tr>
        <w:tc>
          <w:tcPr>
            <w:tcW w:type="dxa" w:w="2160"/>
          </w:tcPr>
          <w:p>
            <w:r>
              <w:t>Evaluación Mid-Year</w:t>
            </w:r>
          </w:p>
        </w:tc>
        <w:tc>
          <w:tcPr>
            <w:tcW w:type="dxa" w:w="2160"/>
          </w:tcPr>
          <w:p>
            <w:r>
              <w:t>Junio – Julio</w:t>
            </w:r>
          </w:p>
        </w:tc>
        <w:tc>
          <w:tcPr>
            <w:tcW w:type="dxa" w:w="2160"/>
          </w:tcPr>
          <w:p>
            <w:r>
              <w:t>Agosto</w:t>
            </w:r>
          </w:p>
        </w:tc>
        <w:tc>
          <w:tcPr>
            <w:tcW w:type="dxa" w:w="2160"/>
          </w:tcPr>
          <w:p>
            <w:r>
              <w:t>Revisión de objetivos del semestre, ajuste de plan de desarrollo</w:t>
            </w:r>
          </w:p>
        </w:tc>
      </w:tr>
      <w:tr>
        <w:tc>
          <w:tcPr>
            <w:tcW w:type="dxa" w:w="2160"/>
          </w:tcPr>
          <w:p>
            <w:r>
              <w:t>Evaluación Year-End</w:t>
            </w:r>
          </w:p>
        </w:tc>
        <w:tc>
          <w:tcPr>
            <w:tcW w:type="dxa" w:w="2160"/>
          </w:tcPr>
          <w:p>
            <w:r>
              <w:t>Noviembre – Diciembre</w:t>
            </w:r>
          </w:p>
        </w:tc>
        <w:tc>
          <w:tcPr>
            <w:tcW w:type="dxa" w:w="2160"/>
          </w:tcPr>
          <w:p>
            <w:r>
              <w:t>Enero del año siguiente</w:t>
            </w:r>
          </w:p>
        </w:tc>
        <w:tc>
          <w:tcPr>
            <w:tcW w:type="dxa" w:w="2160"/>
          </w:tcPr>
          <w:p>
            <w:r>
              <w:t>Evaluación anual, definición de incrementos salariales y bonos</w:t>
            </w:r>
          </w:p>
        </w:tc>
      </w:tr>
    </w:tbl>
    <w:p>
      <w:pPr>
        <w:pStyle w:val="Heading2"/>
        <w:jc w:val="left"/>
      </w:pPr>
      <w:r>
        <w:t>2. Dimensiones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Dimensión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Cumplimiento de objetivos</w:t>
            </w:r>
          </w:p>
        </w:tc>
        <w:tc>
          <w:tcPr>
            <w:tcW w:type="dxa" w:w="4320"/>
          </w:tcPr>
          <w:p>
            <w:r>
              <w:t>Logro de los OKRs u objetivos acordados al inicio del período.</w:t>
            </w:r>
          </w:p>
        </w:tc>
      </w:tr>
      <w:tr>
        <w:tc>
          <w:tcPr>
            <w:tcW w:type="dxa" w:w="4320"/>
          </w:tcPr>
          <w:p>
            <w:r>
              <w:t>Competencias técnicas</w:t>
            </w:r>
          </w:p>
        </w:tc>
        <w:tc>
          <w:tcPr>
            <w:tcW w:type="dxa" w:w="4320"/>
          </w:tcPr>
          <w:p>
            <w:r>
              <w:t>Dominio de las herramientas y conocimientos requeridos para el puesto.</w:t>
            </w:r>
          </w:p>
        </w:tc>
      </w:tr>
      <w:tr>
        <w:tc>
          <w:tcPr>
            <w:tcW w:type="dxa" w:w="4320"/>
          </w:tcPr>
          <w:p>
            <w:r>
              <w:t>Trabajo en equipo</w:t>
            </w:r>
          </w:p>
        </w:tc>
        <w:tc>
          <w:tcPr>
            <w:tcW w:type="dxa" w:w="4320"/>
          </w:tcPr>
          <w:p>
            <w:r>
              <w:t>Colaboración, comunicación y contribución al clima del equipo.</w:t>
            </w:r>
          </w:p>
        </w:tc>
      </w:tr>
      <w:tr>
        <w:tc>
          <w:tcPr>
            <w:tcW w:type="dxa" w:w="4320"/>
          </w:tcPr>
          <w:p>
            <w:r>
              <w:t>Iniciativa e innovación</w:t>
            </w:r>
          </w:p>
        </w:tc>
        <w:tc>
          <w:tcPr>
            <w:tcW w:type="dxa" w:w="4320"/>
          </w:tcPr>
          <w:p>
            <w:r>
              <w:t>Propuestas de mejora, resolución proactiva de problemas.</w:t>
            </w:r>
          </w:p>
        </w:tc>
      </w:tr>
      <w:tr>
        <w:tc>
          <w:tcPr>
            <w:tcW w:type="dxa" w:w="4320"/>
          </w:tcPr>
          <w:p>
            <w:r>
              <w:t>Comunicación</w:t>
            </w:r>
          </w:p>
        </w:tc>
        <w:tc>
          <w:tcPr>
            <w:tcW w:type="dxa" w:w="4320"/>
          </w:tcPr>
          <w:p>
            <w:r>
              <w:t>Claridad, oportunidad y efectividad en la comunicación interna y con clientes.</w:t>
            </w:r>
          </w:p>
        </w:tc>
      </w:tr>
    </w:tbl>
    <w:p>
      <w:pPr>
        <w:pStyle w:val="Heading2"/>
        <w:jc w:val="left"/>
      </w:pPr>
      <w:r>
        <w:t>3. Escala de Calificación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Puntaje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1 — Necesita mejorar</w:t>
            </w:r>
          </w:p>
        </w:tc>
        <w:tc>
          <w:tcPr>
            <w:tcW w:type="dxa" w:w="4320"/>
          </w:tcPr>
          <w:p>
            <w:r>
              <w:t>El colaborador no alcanza los estándares mínimos esperados en la dimensión.</w:t>
            </w:r>
          </w:p>
        </w:tc>
      </w:tr>
      <w:tr>
        <w:tc>
          <w:tcPr>
            <w:tcW w:type="dxa" w:w="4320"/>
          </w:tcPr>
          <w:p>
            <w:r>
              <w:t>2 — En desarrollo</w:t>
            </w:r>
          </w:p>
        </w:tc>
        <w:tc>
          <w:tcPr>
            <w:tcW w:type="dxa" w:w="4320"/>
          </w:tcPr>
          <w:p>
            <w:r>
              <w:t>El colaborador está en proceso de alcanzar el nivel esperado, con apoyo.</w:t>
            </w:r>
          </w:p>
        </w:tc>
      </w:tr>
      <w:tr>
        <w:tc>
          <w:tcPr>
            <w:tcW w:type="dxa" w:w="4320"/>
          </w:tcPr>
          <w:p>
            <w:r>
              <w:t>3 — Cumple expectativas</w:t>
            </w:r>
          </w:p>
        </w:tc>
        <w:tc>
          <w:tcPr>
            <w:tcW w:type="dxa" w:w="4320"/>
          </w:tcPr>
          <w:p>
            <w:r>
              <w:t>El colaborador cumple con lo esperado para su nivel y rol.</w:t>
            </w:r>
          </w:p>
        </w:tc>
      </w:tr>
      <w:tr>
        <w:tc>
          <w:tcPr>
            <w:tcW w:type="dxa" w:w="4320"/>
          </w:tcPr>
          <w:p>
            <w:r>
              <w:t>4 — Supera expectativas</w:t>
            </w:r>
          </w:p>
        </w:tc>
        <w:tc>
          <w:tcPr>
            <w:tcW w:type="dxa" w:w="4320"/>
          </w:tcPr>
          <w:p>
            <w:r>
              <w:t>El colaborador excede consistentemente lo esperado.</w:t>
            </w:r>
          </w:p>
        </w:tc>
      </w:tr>
      <w:tr>
        <w:tc>
          <w:tcPr>
            <w:tcW w:type="dxa" w:w="4320"/>
          </w:tcPr>
          <w:p>
            <w:r>
              <w:t>5 — Excepcional</w:t>
            </w:r>
          </w:p>
        </w:tc>
        <w:tc>
          <w:tcPr>
            <w:tcW w:type="dxa" w:w="4320"/>
          </w:tcPr>
          <w:p>
            <w:r>
              <w:t>El colaborador es un referente del área y genera impacto visible en la organización.</w:t>
            </w:r>
          </w:p>
        </w:tc>
      </w:tr>
    </w:tbl>
    <w:p>
      <w:pPr>
        <w:pStyle w:val="Heading2"/>
        <w:jc w:val="left"/>
      </w:pPr>
      <w:r>
        <w:t>4. Plataforma de Evaluación</w:t>
      </w:r>
    </w:p>
    <w:p>
      <w:r>
        <w:rPr>
          <w:b w:val="0"/>
          <w:sz w:val="22"/>
        </w:rPr>
        <w:t>Las evaluaciones se realizan en: intranet.nexussoluciones.pe/evaluacion. El sistema envía notificaciones automáticas al inicio de cada ciclo. Las evaluaciones incompletas al cierre del plazo se registran como 'No completada' y afectan el proceso de revisión salarial.</w:t>
      </w:r>
    </w:p>
    <w:p>
      <w:pPr>
        <w:pStyle w:val="Heading2"/>
        <w:jc w:val="left"/>
      </w:pPr>
      <w:r>
        <w:t>5. Compensaciones y Beneficios Asociados</w:t>
      </w:r>
    </w:p>
    <w:p>
      <w:r>
        <w:rPr>
          <w:b/>
          <w:sz w:val="22"/>
        </w:rPr>
        <w:t>Revisión Salarial Anual:</w:t>
      </w:r>
    </w:p>
    <w:p>
      <w:r>
        <w:rPr>
          <w:b w:val="0"/>
          <w:sz w:val="22"/>
        </w:rPr>
        <w:t>Se realiza en enero de cada año, vinculada directamente al resultado de la Evaluación Year-End. Los incrementos se calculan sobre el resultado promedio de las cinco dimensiones.</w:t>
      </w:r>
    </w:p>
    <w:p>
      <w:r>
        <w:rPr>
          <w:b/>
          <w:sz w:val="22"/>
        </w:rPr>
        <w:t>Bono de Desempeño Anual:</w:t>
      </w:r>
    </w:p>
    <w:p>
      <w:r>
        <w:rPr>
          <w:b w:val="0"/>
          <w:sz w:val="22"/>
        </w:rPr>
        <w:t>Los colaboradores con calificación promedio de 3.5 o superior son elegibles para el bono anual, equivalente a hasta 1.5 remuneraciones mensuales, proporcional al resultado obtenido.</w:t>
      </w:r>
    </w:p>
    <w:p>
      <w:r>
        <w:rPr>
          <w:b/>
          <w:sz w:val="22"/>
        </w:rPr>
        <w:t>Beneficios de Ley:</w:t>
      </w:r>
    </w:p>
    <w:p>
      <w:pPr>
        <w:pStyle w:val="ListBullet"/>
      </w:pPr>
      <w:r>
        <w:t>• Gratificaciones: julio y diciembre (1 sueldo mensual cada una)</w:t>
      </w:r>
    </w:p>
    <w:p>
      <w:pPr>
        <w:pStyle w:val="ListBullet"/>
      </w:pPr>
      <w:r>
        <w:t>• CTS: depositada en mayo y noviembre</w:t>
      </w:r>
    </w:p>
    <w:p>
      <w:pPr>
        <w:pStyle w:val="ListBullet"/>
      </w:pPr>
      <w:r>
        <w:t>• ESSALUD: 9% a cargo de la empresa</w:t>
      </w:r>
    </w:p>
    <w:p>
      <w:pPr>
        <w:pStyle w:val="ListBullet"/>
      </w:pPr>
      <w:r>
        <w:t>• AFP u ONP: a elección del colaborador al ingreso</w:t>
      </w:r>
    </w:p>
    <w:p>
      <w:pPr>
        <w:pStyle w:val="Heading2"/>
        <w:jc w:val="left"/>
      </w:pPr>
      <w:r>
        <w:t>6. Promociones</w:t>
      </w:r>
    </w:p>
    <w:p>
      <w:r>
        <w:rPr>
          <w:b w:val="0"/>
          <w:sz w:val="22"/>
        </w:rPr>
        <w:t>Las promociones de cargo están vinculadas a los resultados acumulados de dos evaluaciones consecutivas con calificación promedio mínima de 4.0, disponibilidad de la posición y aprobación de la Gerencia General. El proceso es gestionado por RR.HH. en coordinación con el Gerente del área.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D07</w:t>
            </w:r>
          </w:p>
        </w:tc>
        <w:tc>
          <w:tcPr>
            <w:tcW w:type="dxa" w:w="2880"/>
          </w:tcPr>
          <w:p>
            <w:r>
              <w:t>Plan de Capacitación y Desarrollo Profesional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D03</w:t>
            </w:r>
          </w:p>
        </w:tc>
        <w:tc>
          <w:tcPr>
            <w:tcW w:type="dxa" w:w="2880"/>
          </w:tcPr>
          <w:p>
            <w:r>
              <w:t>Política de Vacaciones, Licencias y Permisos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D06</w:t>
            </w:r>
          </w:p>
        </w:tc>
        <w:tc>
          <w:tcPr>
            <w:tcW w:type="dxa" w:w="2880"/>
          </w:tcPr>
          <w:p>
            <w:r>
              <w:t>Código de Conducta y Ética Empresarial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Directorio Corporativo y Organigrama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Evaluación de Desempeño y Compensaciones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