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left"/>
      </w:pPr>
      <w:r>
        <w:t>Política de Seguridad de la Información y Uso de Equipos TI</w:t>
      </w:r>
    </w:p>
    <w:p>
      <w:r>
        <w:t>Código: TI-POL-001 | Versión: 4.1 | Fecha: Enero 2026 | Propietario: CISO — Diana Reyes Castañeda</w:t>
      </w:r>
    </w:p>
    <w:p>
      <w:pPr>
        <w:pStyle w:val="Heading2"/>
        <w:jc w:val="left"/>
      </w:pPr>
      <w:r>
        <w:t>1. Objetivo y Alcance</w:t>
      </w:r>
    </w:p>
    <w:p>
      <w:r>
        <w:rPr>
          <w:b w:val="0"/>
          <w:sz w:val="22"/>
        </w:rPr>
        <w:t>Esta política establece las normas de uso seguro de los equipos, sistemas y datos de Nexus Soluciones S.A.C., alineadas con la certificación ISO 27001:2022. Aplica a todos los colaboradores, locadores de servicios y terceros con acceso a los sistemas de la empresa.</w:t>
      </w:r>
    </w:p>
    <w:p>
      <w:pPr>
        <w:pStyle w:val="Heading2"/>
        <w:jc w:val="left"/>
      </w:pPr>
      <w:r>
        <w:t>2. Equipos Corporativos Asignados</w:t>
      </w:r>
    </w:p>
    <w:p>
      <w:r>
        <w:rPr>
          <w:b w:val="0"/>
          <w:sz w:val="22"/>
        </w:rPr>
        <w:t>Modelo estándar: Lenovo ThinkPad E14 Gen 4 o Dell Latitude 5540. Sistema operativo: Windows 11 Pro con imagen corporativa. Todos los equipos cuentan con BitLocker habilitado (cifrado de disco completo) y CrowdStrike Falcon como solución de seguridad endpoint. No se debe desinstalar ni deshabilitar ninguno de estos componentes.</w:t>
      </w:r>
    </w:p>
    <w:p>
      <w:pPr>
        <w:pStyle w:val="Heading2"/>
        <w:jc w:val="left"/>
      </w:pPr>
      <w:r>
        <w:t>3. Política de Contraseñas</w:t>
      </w:r>
    </w:p>
    <w:p>
      <w:r>
        <w:rPr>
          <w:b w:val="0"/>
          <w:sz w:val="22"/>
        </w:rPr>
        <w:t>Todos los accesos a sistemas corporativos deben cumplir los siguientes requisitos de contraseña:</w:t>
      </w:r>
    </w:p>
    <w:p>
      <w:pPr>
        <w:pStyle w:val="ListBullet"/>
      </w:pPr>
      <w:r>
        <w:t>• Longitud mínima: 12 caracteres</w:t>
      </w:r>
    </w:p>
    <w:p>
      <w:pPr>
        <w:pStyle w:val="ListBullet"/>
      </w:pPr>
      <w:r>
        <w:t>• Debe incluir: mayúsculas, minúsculas, números y caracteres especiales (!@#$%^&amp;*)</w:t>
      </w:r>
    </w:p>
    <w:p>
      <w:pPr>
        <w:pStyle w:val="ListBullet"/>
      </w:pPr>
      <w:r>
        <w:t>• Caducidad: cada 90 días</w:t>
      </w:r>
    </w:p>
    <w:p>
      <w:pPr>
        <w:pStyle w:val="ListBullet"/>
      </w:pPr>
      <w:r>
        <w:t>• No reutilizar las últimas 6 contraseñas</w:t>
      </w:r>
    </w:p>
    <w:p>
      <w:pPr>
        <w:pStyle w:val="ListBullet"/>
      </w:pPr>
      <w:r>
        <w:t>• MFA (Autenticación Multifactor) obligatorio mediante Microsoft Authenticator</w:t>
      </w:r>
    </w:p>
    <w:p>
      <w:pPr>
        <w:pStyle w:val="Heading2"/>
        <w:jc w:val="left"/>
      </w:pPr>
      <w:r>
        <w:t>4. VPN Corporativa</w:t>
      </w:r>
    </w:p>
    <w:p>
      <w:r>
        <w:rPr>
          <w:b w:val="0"/>
          <w:sz w:val="22"/>
        </w:rPr>
        <w:t>Para acceder a los sistemas internos desde fuera de la oficina es obligatorio usar Cisco AnyConnect. La solicitud de acceso VPN se realiza a helpdesk@nexussoluciones.pe con aprobación del jefe directo, a través de intranet.nexussoluciones.pe/solicitudes-ti.</w:t>
      </w:r>
    </w:p>
    <w:p>
      <w:pPr>
        <w:pStyle w:val="Heading2"/>
        <w:jc w:val="left"/>
      </w:pPr>
      <w:r>
        <w:t>5. Herramientas Autorizadas y Prohibidas</w:t>
      </w:r>
    </w:p>
    <w:p>
      <w:r>
        <w:rPr>
          <w:b/>
          <w:sz w:val="22"/>
        </w:rPr>
        <w:t>Herramientas autorizadas:</w:t>
      </w:r>
    </w:p>
    <w:p>
      <w:pPr>
        <w:pStyle w:val="ListBullet"/>
      </w:pPr>
      <w:r>
        <w:t>• Comunicación: Microsoft Teams, Outlook</w:t>
      </w:r>
    </w:p>
    <w:p>
      <w:pPr>
        <w:pStyle w:val="ListBullet"/>
      </w:pPr>
      <w:r>
        <w:t>• Gestión de proyectos: Jira, Confluence</w:t>
      </w:r>
    </w:p>
    <w:p>
      <w:pPr>
        <w:pStyle w:val="ListBullet"/>
      </w:pPr>
      <w:r>
        <w:t>• Repositorios de código: GitLab interno (gitlab.nexussoluciones.pe), GitHub (solo repos autorizados)</w:t>
      </w:r>
    </w:p>
    <w:p>
      <w:pPr>
        <w:pStyle w:val="ListBullet"/>
      </w:pPr>
      <w:r>
        <w:t>• Almacenamiento en nube: SharePoint corporativo, OneDrive personal corporativo</w:t>
      </w:r>
    </w:p>
    <w:p>
      <w:pPr>
        <w:pStyle w:val="ListBullet"/>
      </w:pPr>
      <w:r>
        <w:t>• Videoconferencias: Microsoft Teams, Zoom con cuenta corporativa</w:t>
      </w:r>
    </w:p>
    <w:p>
      <w:r>
        <w:rPr>
          <w:b/>
          <w:sz w:val="22"/>
        </w:rPr>
        <w:t>Herramientas y usos prohibidos:</w:t>
      </w:r>
    </w:p>
    <w:p>
      <w:pPr>
        <w:pStyle w:val="ListBullet"/>
      </w:pPr>
      <w:r>
        <w:t>• Software de torrents o descarga P2P</w:t>
      </w:r>
    </w:p>
    <w:p>
      <w:pPr>
        <w:pStyle w:val="ListBullet"/>
      </w:pPr>
      <w:r>
        <w:t>• Software de minería de criptomonedas</w:t>
      </w:r>
    </w:p>
    <w:p>
      <w:pPr>
        <w:pStyle w:val="ListBullet"/>
      </w:pPr>
      <w:r>
        <w:t>• VPNs no autorizadas por TI</w:t>
      </w:r>
    </w:p>
    <w:p>
      <w:pPr>
        <w:pStyle w:val="ListBullet"/>
      </w:pPr>
      <w:r>
        <w:t>• Software sin licencia o crackeado</w:t>
      </w:r>
    </w:p>
    <w:p>
      <w:pPr>
        <w:pStyle w:val="ListBullet"/>
      </w:pPr>
      <w:r>
        <w:t>• Google Drive personal, Dropbox, WeTransfer para información sensible</w:t>
      </w:r>
    </w:p>
    <w:p>
      <w:pPr>
        <w:pStyle w:val="ListBullet"/>
      </w:pPr>
      <w:r>
        <w:t>• Herramientas de IA generativa con datos de clientes (requiere aprobación del CISO para proyectos internos)</w:t>
      </w:r>
    </w:p>
    <w:p>
      <w:pPr>
        <w:pStyle w:val="Heading2"/>
        <w:jc w:val="left"/>
      </w:pPr>
      <w:r>
        <w:t>6. Clasificación de la Información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Nivel</w:t>
            </w:r>
          </w:p>
        </w:tc>
        <w:tc>
          <w:tcPr>
            <w:tcW w:type="dxa" w:w="2880"/>
          </w:tcPr>
          <w:p>
            <w:r>
              <w:t>Ejemplos</w:t>
            </w:r>
          </w:p>
        </w:tc>
        <w:tc>
          <w:tcPr>
            <w:tcW w:type="dxa" w:w="2880"/>
          </w:tcPr>
          <w:p>
            <w:r>
              <w:t>Manejo requerido</w:t>
            </w:r>
          </w:p>
        </w:tc>
      </w:tr>
      <w:tr>
        <w:tc>
          <w:tcPr>
            <w:tcW w:type="dxa" w:w="2880"/>
          </w:tcPr>
          <w:p>
            <w:r>
              <w:t>Confidencial</w:t>
            </w:r>
          </w:p>
        </w:tc>
        <w:tc>
          <w:tcPr>
            <w:tcW w:type="dxa" w:w="2880"/>
          </w:tcPr>
          <w:p>
            <w:r>
              <w:t>Datos de clientes, contratos, info financiera, código fuente de proyectos</w:t>
            </w:r>
          </w:p>
        </w:tc>
        <w:tc>
          <w:tcPr>
            <w:tcW w:type="dxa" w:w="2880"/>
          </w:tcPr>
          <w:p>
            <w:r>
              <w:t>Solo acceso con necesidad justificada, no enviar sin cifrar, no almacenar en dispositivos personales</w:t>
            </w:r>
          </w:p>
        </w:tc>
      </w:tr>
      <w:tr>
        <w:tc>
          <w:tcPr>
            <w:tcW w:type="dxa" w:w="2880"/>
          </w:tcPr>
          <w:p>
            <w:r>
              <w:t>Interno</w:t>
            </w:r>
          </w:p>
        </w:tc>
        <w:tc>
          <w:tcPr>
            <w:tcW w:type="dxa" w:w="2880"/>
          </w:tcPr>
          <w:p>
            <w:r>
              <w:t>Políticas, procedimientos, comunicaciones internas</w:t>
            </w:r>
          </w:p>
        </w:tc>
        <w:tc>
          <w:tcPr>
            <w:tcW w:type="dxa" w:w="2880"/>
          </w:tcPr>
          <w:p>
            <w:r>
              <w:t>Solo para colaboradores de Nexus, no compartir sin aprobación</w:t>
            </w:r>
          </w:p>
        </w:tc>
      </w:tr>
      <w:tr>
        <w:tc>
          <w:tcPr>
            <w:tcW w:type="dxa" w:w="2880"/>
          </w:tcPr>
          <w:p>
            <w:r>
              <w:t>Público</w:t>
            </w:r>
          </w:p>
        </w:tc>
        <w:tc>
          <w:tcPr>
            <w:tcW w:type="dxa" w:w="2880"/>
          </w:tcPr>
          <w:p>
            <w:r>
              <w:t>Material de marketing, web corporativa</w:t>
            </w:r>
          </w:p>
        </w:tc>
        <w:tc>
          <w:tcPr>
            <w:tcW w:type="dxa" w:w="2880"/>
          </w:tcPr>
          <w:p>
            <w:r>
              <w:t>Sin restricciones</w:t>
            </w:r>
          </w:p>
        </w:tc>
      </w:tr>
    </w:tbl>
    <w:p>
      <w:pPr>
        <w:pStyle w:val="Heading2"/>
        <w:jc w:val="left"/>
      </w:pPr>
      <w:r>
        <w:t>7. Contacto TI</w:t>
      </w:r>
    </w:p>
    <w:p>
      <w:r>
        <w:rPr>
          <w:b w:val="0"/>
          <w:sz w:val="22"/>
        </w:rPr>
        <w:t>Mesa de Ayuda (Helpdesk): helpdesk@nexussoluciones.pe | Ext. 300</w:t>
        <w:br/>
        <w:t>Horario: Lun–Vie 8:00–19:00 | Sáb 9:00–13:00</w:t>
        <w:br/>
        <w:t>CISO: Diana Reyes Castañeda — d.reyes@nexussoluciones.pe | Ext. 302</w:t>
        <w:br/>
        <w:t>Líder de Infraestructura: Marco Huanca Soto — m.huanca@nexussoluciones.pe | Ext. 301</w:t>
      </w:r>
    </w:p>
    <w:p>
      <w:pPr>
        <w:pStyle w:val="Heading2"/>
        <w:jc w:val="left"/>
      </w:pPr>
      <w:r>
        <w:t>Documentos Relacionados</w:t>
      </w:r>
    </w:p>
    <w:p>
      <w:r>
        <w:rPr>
          <w:sz w:val="22"/>
        </w:rPr>
        <w:t>Para una comprensión completa de los procesos y políticas de Nexus Soluciones S.A.C., se recomienda revisar los siguientes documentos internos: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Código</w:t>
            </w:r>
          </w:p>
        </w:tc>
        <w:tc>
          <w:tcPr>
            <w:tcW w:type="dxa" w:w="2880"/>
          </w:tcPr>
          <w:p>
            <w:r>
              <w:t>Título del Documento</w:t>
            </w:r>
          </w:p>
        </w:tc>
        <w:tc>
          <w:tcPr>
            <w:tcW w:type="dxa" w:w="2880"/>
          </w:tcPr>
          <w:p>
            <w:r>
              <w:t>Relación</w:t>
            </w:r>
          </w:p>
        </w:tc>
      </w:tr>
      <w:tr>
        <w:tc>
          <w:tcPr>
            <w:tcW w:type="dxa" w:w="2880"/>
          </w:tcPr>
          <w:p>
            <w:r>
              <w:t>D10</w:t>
            </w:r>
          </w:p>
        </w:tc>
        <w:tc>
          <w:tcPr>
            <w:tcW w:type="dxa" w:w="2880"/>
          </w:tcPr>
          <w:p>
            <w:r>
              <w:t>Procedimiento de Gestión de Incidentes de TI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D11</w:t>
            </w:r>
          </w:p>
        </w:tc>
        <w:tc>
          <w:tcPr>
            <w:tcW w:type="dxa" w:w="2880"/>
          </w:tcPr>
          <w:p>
            <w:r>
              <w:t>Política de Protección de Datos y Manejo de Información de Clientes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D04</w:t>
            </w:r>
          </w:p>
        </w:tc>
        <w:tc>
          <w:tcPr>
            <w:tcW w:type="dxa" w:w="2880"/>
          </w:tcPr>
          <w:p>
            <w:r>
              <w:t>Política de Trabajo Remoto e Híbrido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  <w:tr>
        <w:tc>
          <w:tcPr>
            <w:tcW w:type="dxa" w:w="2880"/>
          </w:tcPr>
          <w:p>
            <w:r>
              <w:t>D06</w:t>
            </w:r>
          </w:p>
        </w:tc>
        <w:tc>
          <w:tcPr>
            <w:tcW w:type="dxa" w:w="2880"/>
          </w:tcPr>
          <w:p>
            <w:r>
              <w:t>Código de Conducta y Ética Empresarial</w:t>
            </w:r>
          </w:p>
        </w:tc>
        <w:tc>
          <w:tcPr>
            <w:tcW w:type="dxa" w:w="2880"/>
          </w:tcPr>
          <w:p>
            <w:r>
              <w:t>Complementario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Documento Interno — Uso Exclusivo de Colaboradores Nexus Soluciones S.A.C.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t>Nexus Soluciones S.A.C. — Política de Seguridad de la Información y Uso de Equipos TI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