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Procedimiento de Gestión de Incidentes de TI</w:t>
      </w:r>
    </w:p>
    <w:p>
      <w:r>
        <w:t>Código: TI-PROC-001 | Versión: 3.5 | Fecha: Enero 2026 | Propietario: CISO — Diana Reyes Castañeda</w:t>
      </w:r>
    </w:p>
    <w:p>
      <w:pPr>
        <w:pStyle w:val="Heading2"/>
        <w:jc w:val="left"/>
      </w:pPr>
      <w:r>
        <w:t>1. Definición de Incidente</w:t>
      </w:r>
    </w:p>
    <w:p>
      <w:r>
        <w:rPr>
          <w:b w:val="0"/>
          <w:sz w:val="22"/>
        </w:rPr>
        <w:t>Un incidente de TI es cualquier evento no planificado que afecte o pueda afectar la disponibilidad, confidencialidad o integridad de los sistemas, datos o infraestructura de Nexus Soluciones S.A.C. o de sus clientes.</w:t>
      </w:r>
    </w:p>
    <w:p>
      <w:pPr>
        <w:pStyle w:val="Heading2"/>
        <w:jc w:val="left"/>
      </w:pPr>
      <w:r>
        <w:t>2. Clasificación de Incidentes por Severidad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Nivel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Tiempo de Respuesta</w:t>
            </w:r>
          </w:p>
        </w:tc>
        <w:tc>
          <w:tcPr>
            <w:tcW w:type="dxa" w:w="1728"/>
          </w:tcPr>
          <w:p>
            <w:r>
              <w:t>Tiempo de Resolución</w:t>
            </w:r>
          </w:p>
        </w:tc>
        <w:tc>
          <w:tcPr>
            <w:tcW w:type="dxa" w:w="1728"/>
          </w:tcPr>
          <w:p>
            <w:r>
              <w:t>Notificar a</w:t>
            </w:r>
          </w:p>
        </w:tc>
      </w:tr>
      <w:tr>
        <w:tc>
          <w:tcPr>
            <w:tcW w:type="dxa" w:w="1728"/>
          </w:tcPr>
          <w:p>
            <w:r>
              <w:t>P1 — Crítico</w:t>
            </w:r>
          </w:p>
        </w:tc>
        <w:tc>
          <w:tcPr>
            <w:tcW w:type="dxa" w:w="1728"/>
          </w:tcPr>
          <w:p>
            <w:r>
              <w:t>Sistema productivo caído, brecha de seguridad confirmada, pérdida de datos de cliente</w:t>
            </w:r>
          </w:p>
        </w:tc>
        <w:tc>
          <w:tcPr>
            <w:tcW w:type="dxa" w:w="1728"/>
          </w:tcPr>
          <w:p>
            <w:r>
              <w:t>15 minutos</w:t>
            </w:r>
          </w:p>
        </w:tc>
        <w:tc>
          <w:tcPr>
            <w:tcW w:type="dxa" w:w="1728"/>
          </w:tcPr>
          <w:p>
            <w:r>
              <w:t>4 horas</w:t>
            </w:r>
          </w:p>
        </w:tc>
        <w:tc>
          <w:tcPr>
            <w:tcW w:type="dxa" w:w="1728"/>
          </w:tcPr>
          <w:p>
            <w:r>
              <w:t>CISO, CTO, Gerente General</w:t>
            </w:r>
          </w:p>
        </w:tc>
      </w:tr>
      <w:tr>
        <w:tc>
          <w:tcPr>
            <w:tcW w:type="dxa" w:w="1728"/>
          </w:tcPr>
          <w:p>
            <w:r>
              <w:t>P2 — Alto</w:t>
            </w:r>
          </w:p>
        </w:tc>
        <w:tc>
          <w:tcPr>
            <w:tcW w:type="dxa" w:w="1728"/>
          </w:tcPr>
          <w:p>
            <w:r>
              <w:t>Degradación significativa de servicio, sospecha de intrusión, acceso no autorizado</w:t>
            </w:r>
          </w:p>
        </w:tc>
        <w:tc>
          <w:tcPr>
            <w:tcW w:type="dxa" w:w="1728"/>
          </w:tcPr>
          <w:p>
            <w:r>
              <w:t>30 minutos</w:t>
            </w:r>
          </w:p>
        </w:tc>
        <w:tc>
          <w:tcPr>
            <w:tcW w:type="dxa" w:w="1728"/>
          </w:tcPr>
          <w:p>
            <w:r>
              <w:t>8 horas</w:t>
            </w:r>
          </w:p>
        </w:tc>
        <w:tc>
          <w:tcPr>
            <w:tcW w:type="dxa" w:w="1728"/>
          </w:tcPr>
          <w:p>
            <w:r>
              <w:t>CISO, CTO</w:t>
            </w:r>
          </w:p>
        </w:tc>
      </w:tr>
      <w:tr>
        <w:tc>
          <w:tcPr>
            <w:tcW w:type="dxa" w:w="1728"/>
          </w:tcPr>
          <w:p>
            <w:r>
              <w:t>P3 — Medio</w:t>
            </w:r>
          </w:p>
        </w:tc>
        <w:tc>
          <w:tcPr>
            <w:tcW w:type="dxa" w:w="1728"/>
          </w:tcPr>
          <w:p>
            <w:r>
              <w:t>Problema de acceso individual, fallo de equipo, error en app interna</w:t>
            </w:r>
          </w:p>
        </w:tc>
        <w:tc>
          <w:tcPr>
            <w:tcW w:type="dxa" w:w="1728"/>
          </w:tcPr>
          <w:p>
            <w:r>
              <w:t>2 horas</w:t>
            </w:r>
          </w:p>
        </w:tc>
        <w:tc>
          <w:tcPr>
            <w:tcW w:type="dxa" w:w="1728"/>
          </w:tcPr>
          <w:p>
            <w:r>
              <w:t>24 horas</w:t>
            </w:r>
          </w:p>
        </w:tc>
        <w:tc>
          <w:tcPr>
            <w:tcW w:type="dxa" w:w="1728"/>
          </w:tcPr>
          <w:p>
            <w:r>
              <w:t>Líder de Infraestructura</w:t>
            </w:r>
          </w:p>
        </w:tc>
      </w:tr>
      <w:tr>
        <w:tc>
          <w:tcPr>
            <w:tcW w:type="dxa" w:w="1728"/>
          </w:tcPr>
          <w:p>
            <w:r>
              <w:t>P4 — Bajo</w:t>
            </w:r>
          </w:p>
        </w:tc>
        <w:tc>
          <w:tcPr>
            <w:tcW w:type="dxa" w:w="1728"/>
          </w:tcPr>
          <w:p>
            <w:r>
              <w:t>Consultas, solicitudes de acceso, instalación de software</w:t>
            </w:r>
          </w:p>
        </w:tc>
        <w:tc>
          <w:tcPr>
            <w:tcW w:type="dxa" w:w="1728"/>
          </w:tcPr>
          <w:p>
            <w:r>
              <w:t>8 horas</w:t>
            </w:r>
          </w:p>
        </w:tc>
        <w:tc>
          <w:tcPr>
            <w:tcW w:type="dxa" w:w="1728"/>
          </w:tcPr>
          <w:p>
            <w:r>
              <w:t>48 horas</w:t>
            </w:r>
          </w:p>
        </w:tc>
        <w:tc>
          <w:tcPr>
            <w:tcW w:type="dxa" w:w="1728"/>
          </w:tcPr>
          <w:p>
            <w:r>
              <w:t>Mesa de Ayuda</w:t>
            </w:r>
          </w:p>
        </w:tc>
      </w:tr>
    </w:tbl>
    <w:p>
      <w:pPr>
        <w:pStyle w:val="Heading2"/>
        <w:jc w:val="left"/>
      </w:pPr>
      <w:r>
        <w:t>3. Cómo Reportar un Incidente</w:t>
      </w:r>
    </w:p>
    <w:p>
      <w:r>
        <w:rPr>
          <w:b w:val="0"/>
          <w:sz w:val="22"/>
        </w:rPr>
        <w:t>Todo colaborador que identifique o sospeche de un incidente debe reportarlo inmediatamente por los siguientes canales:</w:t>
      </w:r>
    </w:p>
    <w:p>
      <w:pPr>
        <w:pStyle w:val="ListBullet"/>
      </w:pPr>
      <w:r>
        <w:t>• Correo: helpdesk@nexussoluciones.pe</w:t>
      </w:r>
    </w:p>
    <w:p>
      <w:pPr>
        <w:pStyle w:val="ListBullet"/>
      </w:pPr>
      <w:r>
        <w:t>• Teléfono: Ext. 300 (Helpdesk) — Lun–Vie 8:00–19:00, Sáb 9:00–13:00</w:t>
      </w:r>
    </w:p>
    <w:p>
      <w:pPr>
        <w:pStyle w:val="ListBullet"/>
      </w:pPr>
      <w:r>
        <w:t>• Portal de tickets: jira.nexussoluciones.pe/servicedesk</w:t>
      </w:r>
    </w:p>
    <w:p>
      <w:pPr>
        <w:pStyle w:val="ListBullet"/>
      </w:pPr>
      <w:r>
        <w:t>• Para incidentes P1 fuera de horario: llamar directamente al CISO (d.reyes@nexussoluciones.pe) o al CTO (a.flores@nexussoluciones.pe)</w:t>
      </w:r>
    </w:p>
    <w:p>
      <w:pPr>
        <w:pStyle w:val="Heading2"/>
        <w:jc w:val="left"/>
      </w:pPr>
      <w:r>
        <w:t>4. Proceso de Atención</w:t>
      </w:r>
    </w:p>
    <w:p>
      <w:r>
        <w:rPr>
          <w:b/>
          <w:sz w:val="22"/>
        </w:rPr>
        <w:t>Registro</w:t>
      </w:r>
    </w:p>
    <w:p>
      <w:r>
        <w:rPr>
          <w:b w:val="0"/>
          <w:sz w:val="22"/>
        </w:rPr>
        <w:t>El colaborador reporta el incidente. El Helpdesk crea un ticket en Jira Service Management con severidad inicial asignada.</w:t>
      </w:r>
    </w:p>
    <w:p>
      <w:r>
        <w:rPr>
          <w:b/>
          <w:sz w:val="22"/>
        </w:rPr>
        <w:t>Clasificación</w:t>
      </w:r>
    </w:p>
    <w:p>
      <w:r>
        <w:rPr>
          <w:b w:val="0"/>
          <w:sz w:val="22"/>
        </w:rPr>
        <w:t>TI valida la severidad real en un tiempo máximo igual al tiempo de respuesta del nivel asignado.</w:t>
      </w:r>
    </w:p>
    <w:p>
      <w:r>
        <w:rPr>
          <w:b/>
          <w:sz w:val="22"/>
        </w:rPr>
        <w:t>Escalamiento</w:t>
      </w:r>
    </w:p>
    <w:p>
      <w:r>
        <w:rPr>
          <w:b w:val="0"/>
          <w:sz w:val="22"/>
        </w:rPr>
        <w:t>Si el incidente es P1 o P2, se notifica de inmediato a los responsables definidos en la tabla de severidad.</w:t>
      </w:r>
    </w:p>
    <w:p>
      <w:r>
        <w:rPr>
          <w:b/>
          <w:sz w:val="22"/>
        </w:rPr>
        <w:t>Resolución</w:t>
      </w:r>
    </w:p>
    <w:p>
      <w:r>
        <w:rPr>
          <w:b w:val="0"/>
          <w:sz w:val="22"/>
        </w:rPr>
        <w:t>El equipo de TI trabaja en la solución dentro del tiempo de resolución comprometido. Se mantiene al usuario informado cada hora en incidentes P1.</w:t>
      </w:r>
    </w:p>
    <w:p>
      <w:r>
        <w:rPr>
          <w:b/>
          <w:sz w:val="22"/>
        </w:rPr>
        <w:t>Cierre</w:t>
      </w:r>
    </w:p>
    <w:p>
      <w:r>
        <w:rPr>
          <w:b w:val="0"/>
          <w:sz w:val="22"/>
        </w:rPr>
        <w:t>TI confirma la resolución con el usuario afectado y cierra el ticket en Jira.</w:t>
      </w:r>
    </w:p>
    <w:p>
      <w:r>
        <w:rPr>
          <w:b/>
          <w:sz w:val="22"/>
        </w:rPr>
        <w:t>Post-incidente</w:t>
      </w:r>
    </w:p>
    <w:p>
      <w:r>
        <w:rPr>
          <w:b w:val="0"/>
          <w:sz w:val="22"/>
        </w:rPr>
        <w:t>Para P1 y P2, TI emite un informe post-incidente (RCA) en un plazo máximo de 5 días hábiles.</w:t>
      </w:r>
    </w:p>
    <w:p>
      <w:pPr>
        <w:pStyle w:val="Heading2"/>
        <w:jc w:val="left"/>
      </w:pPr>
      <w:r>
        <w:t>5. Incidentes de Seguridad — Protocolo Especial</w:t>
      </w:r>
    </w:p>
    <w:p>
      <w:r>
        <w:rPr>
          <w:b w:val="0"/>
          <w:sz w:val="22"/>
        </w:rPr>
        <w:t>Ante la sospecha o confirmación de una brecha de seguridad que involucre datos de clientes:</w:t>
      </w:r>
    </w:p>
    <w:p>
      <w:pPr>
        <w:pStyle w:val="ListBullet"/>
      </w:pPr>
      <w:r>
        <w:t>• El colaborador NO debe intentar resolver el incidente por su cuenta.</w:t>
      </w:r>
    </w:p>
    <w:p>
      <w:pPr>
        <w:pStyle w:val="ListBullet"/>
      </w:pPr>
      <w:r>
        <w:t>• Debe reportar inmediatamente al CISO: d.reyes@nexussoluciones.pe / Ext. 302.</w:t>
      </w:r>
    </w:p>
    <w:p>
      <w:pPr>
        <w:pStyle w:val="ListBullet"/>
      </w:pPr>
      <w:r>
        <w:t>• El CISO notifica al Oficial de Protección de Datos (DPO): dpo@nexussoluciones.pe.</w:t>
      </w:r>
    </w:p>
    <w:p>
      <w:pPr>
        <w:pStyle w:val="ListBullet"/>
      </w:pPr>
      <w:r>
        <w:t>• Si se confirma exposición de datos personales de clientes, la notificación al cliente y a INDECOPI debe realizarse en un plazo máximo de 72 horas.</w:t>
      </w:r>
    </w:p>
    <w:p>
      <w:pPr>
        <w:pStyle w:val="Heading2"/>
        <w:jc w:val="left"/>
      </w:pPr>
      <w:r>
        <w:t>Documentos Relacionados</w:t>
      </w:r>
    </w:p>
    <w:p>
      <w:r>
        <w:rPr>
          <w:sz w:val="22"/>
        </w:rPr>
        <w:t>Para una comprensión completa de los procesos y políticas de Nexus Soluciones S.A.C., se recomienda revisar los siguientes documentos internos: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Título del Documento</w:t>
            </w:r>
          </w:p>
        </w:tc>
        <w:tc>
          <w:tcPr>
            <w:tcW w:type="dxa" w:w="2880"/>
          </w:tcPr>
          <w:p>
            <w:r>
              <w:t>Relación</w:t>
            </w:r>
          </w:p>
        </w:tc>
      </w:tr>
      <w:tr>
        <w:tc>
          <w:tcPr>
            <w:tcW w:type="dxa" w:w="2880"/>
          </w:tcPr>
          <w:p>
            <w:r>
              <w:t>D09</w:t>
            </w:r>
          </w:p>
        </w:tc>
        <w:tc>
          <w:tcPr>
            <w:tcW w:type="dxa" w:w="2880"/>
          </w:tcPr>
          <w:p>
            <w:r>
              <w:t>Política de Seguridad de la Información y Uso de Equipos TI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D11</w:t>
            </w:r>
          </w:p>
        </w:tc>
        <w:tc>
          <w:tcPr>
            <w:tcW w:type="dxa" w:w="2880"/>
          </w:tcPr>
          <w:p>
            <w:r>
              <w:t>Política de Protección de Datos y Manejo de Información de Clientes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D04</w:t>
            </w:r>
          </w:p>
        </w:tc>
        <w:tc>
          <w:tcPr>
            <w:tcW w:type="dxa" w:w="2880"/>
          </w:tcPr>
          <w:p>
            <w:r>
              <w:t>Política de Trabajo Remoto e Híbrido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D15</w:t>
            </w:r>
          </w:p>
        </w:tc>
        <w:tc>
          <w:tcPr>
            <w:tcW w:type="dxa" w:w="2880"/>
          </w:tcPr>
          <w:p>
            <w:r>
              <w:t>Directorio Corporativo y Organigrama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Interno — Uso Exclusivo de Colaboradores Nexus Soluciones S.A.C.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Procedimiento de Gestión de Incidentes de 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