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Política de Protección de Datos y Manejo de Información de Clientes</w:t>
      </w:r>
    </w:p>
    <w:p>
      <w:r>
        <w:t>Código: LEGAL-POL-002 | Versión: 2.2 | Fecha: Enero 2026 | Propietario: DPO — Mónica Salinas Bustamante</w:t>
      </w:r>
    </w:p>
    <w:p>
      <w:pPr>
        <w:pStyle w:val="Heading2"/>
        <w:jc w:val="left"/>
      </w:pPr>
      <w:r>
        <w:t>1. Marco Legal</w:t>
      </w:r>
    </w:p>
    <w:p>
      <w:r>
        <w:rPr>
          <w:b w:val="0"/>
          <w:sz w:val="22"/>
        </w:rPr>
        <w:t>Esta política se rige por la Ley N.° 29733 — Ley de Protección de Datos Personales del Perú y su Reglamento (D.S. N.° 003-2013-JUS). Nexus Soluciones S.A.C. está registrada en el Registro Nacional de Protección de Datos Personales de INDECOPI.</w:t>
      </w:r>
    </w:p>
    <w:p>
      <w:pPr>
        <w:pStyle w:val="Heading2"/>
        <w:jc w:val="left"/>
      </w:pPr>
      <w:r>
        <w:t>2. Oficial de Protección de Datos (DPO)</w:t>
      </w:r>
    </w:p>
    <w:p>
      <w:r>
        <w:rPr>
          <w:b w:val="0"/>
          <w:sz w:val="22"/>
        </w:rPr>
        <w:t>El Oficial de Protección de Datos de Nexus Soluciones S.A.C. es:</w:t>
        <w:br/>
        <w:t>Mónica Salinas Bustamante</w:t>
        <w:br/>
        <w:t>dpo@nexussoluciones.pe | Ext. 106</w:t>
        <w:br/>
        <w:t>Gerencia Legal y Compliance — Piso 8, San Isidro</w:t>
      </w:r>
    </w:p>
    <w:p>
      <w:pPr>
        <w:pStyle w:val="Heading2"/>
        <w:jc w:val="left"/>
      </w:pPr>
      <w:r>
        <w:t>3. Principios de Tratamiento de Datos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Principio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Legalidad</w:t>
            </w:r>
          </w:p>
        </w:tc>
        <w:tc>
          <w:tcPr>
            <w:tcW w:type="dxa" w:w="4320"/>
          </w:tcPr>
          <w:p>
            <w:r>
              <w:t>Los datos solo se tratan con base legal válida: consentimiento, contrato o mandato legal.</w:t>
            </w:r>
          </w:p>
        </w:tc>
      </w:tr>
      <w:tr>
        <w:tc>
          <w:tcPr>
            <w:tcW w:type="dxa" w:w="4320"/>
          </w:tcPr>
          <w:p>
            <w:r>
              <w:t>Finalidad</w:t>
            </w:r>
          </w:p>
        </w:tc>
        <w:tc>
          <w:tcPr>
            <w:tcW w:type="dxa" w:w="4320"/>
          </w:tcPr>
          <w:p>
            <w:r>
              <w:t>Los datos se recopilan para fines específicos, explícitos y legítimos.</w:t>
            </w:r>
          </w:p>
        </w:tc>
      </w:tr>
      <w:tr>
        <w:tc>
          <w:tcPr>
            <w:tcW w:type="dxa" w:w="4320"/>
          </w:tcPr>
          <w:p>
            <w:r>
              <w:t>Proporcionalidad</w:t>
            </w:r>
          </w:p>
        </w:tc>
        <w:tc>
          <w:tcPr>
            <w:tcW w:type="dxa" w:w="4320"/>
          </w:tcPr>
          <w:p>
            <w:r>
              <w:t>Solo se recaban los datos estrictamente necesarios para el fin declarado.</w:t>
            </w:r>
          </w:p>
        </w:tc>
      </w:tr>
      <w:tr>
        <w:tc>
          <w:tcPr>
            <w:tcW w:type="dxa" w:w="4320"/>
          </w:tcPr>
          <w:p>
            <w:r>
              <w:t>Calidad</w:t>
            </w:r>
          </w:p>
        </w:tc>
        <w:tc>
          <w:tcPr>
            <w:tcW w:type="dxa" w:w="4320"/>
          </w:tcPr>
          <w:p>
            <w:r>
              <w:t>Los datos deben ser exactos, actualizados y completos.</w:t>
            </w:r>
          </w:p>
        </w:tc>
      </w:tr>
      <w:tr>
        <w:tc>
          <w:tcPr>
            <w:tcW w:type="dxa" w:w="4320"/>
          </w:tcPr>
          <w:p>
            <w:r>
              <w:t>Seguridad</w:t>
            </w:r>
          </w:p>
        </w:tc>
        <w:tc>
          <w:tcPr>
            <w:tcW w:type="dxa" w:w="4320"/>
          </w:tcPr>
          <w:p>
            <w:r>
              <w:t>Se aplican medidas técnicas y organizativas para proteger los datos.</w:t>
            </w:r>
          </w:p>
        </w:tc>
      </w:tr>
      <w:tr>
        <w:tc>
          <w:tcPr>
            <w:tcW w:type="dxa" w:w="4320"/>
          </w:tcPr>
          <w:p>
            <w:r>
              <w:t>Confidencialidad</w:t>
            </w:r>
          </w:p>
        </w:tc>
        <w:tc>
          <w:tcPr>
            <w:tcW w:type="dxa" w:w="4320"/>
          </w:tcPr>
          <w:p>
            <w:r>
              <w:t>Los datos no se comunican a terceros sin autorización o base legal.</w:t>
            </w:r>
          </w:p>
        </w:tc>
      </w:tr>
    </w:tbl>
    <w:p>
      <w:pPr>
        <w:pStyle w:val="Heading2"/>
        <w:jc w:val="left"/>
      </w:pPr>
      <w:r>
        <w:t>4. Manejo de Datos de Clientes en Proyectos</w:t>
      </w:r>
    </w:p>
    <w:p>
      <w:pPr>
        <w:pStyle w:val="ListBullet"/>
      </w:pPr>
      <w:r>
        <w:t>• Los datos de clientes solo pueden almacenarse en la infraestructura autorizada por el propio cliente (on-premise del cliente o cloud acordado contractualmente).</w:t>
      </w:r>
    </w:p>
    <w:p>
      <w:pPr>
        <w:pStyle w:val="ListBullet"/>
      </w:pPr>
      <w:r>
        <w:t>• Está prohibido copiar datos de clientes a dispositivos personales, unidades USB, correo personal o servicios en la nube no autorizados.</w:t>
      </w:r>
    </w:p>
    <w:p>
      <w:pPr>
        <w:pStyle w:val="ListBullet"/>
      </w:pPr>
      <w:r>
        <w:t>• El acceso a datos de clientes debe ser aprobado por el jefe de proyecto y registrado en Jira.</w:t>
      </w:r>
    </w:p>
    <w:p>
      <w:pPr>
        <w:pStyle w:val="ListBullet"/>
      </w:pPr>
      <w:r>
        <w:t>• Al cierre del contrato, todos los datos del cliente deben eliminarse dentro de los 30 días siguientes a la fecha de cierre, documentando el proceso con un acta de destrucción firmada por el DPO.</w:t>
      </w:r>
    </w:p>
    <w:p>
      <w:pPr>
        <w:pStyle w:val="Heading2"/>
        <w:jc w:val="left"/>
      </w:pPr>
      <w:r>
        <w:t>5. Protocolo ante una Brecha de Datos</w:t>
      </w:r>
    </w:p>
    <w:p>
      <w:r>
        <w:rPr>
          <w:b w:val="0"/>
          <w:sz w:val="22"/>
        </w:rPr>
        <w:t>En caso de sospecha o confirmación de brecha de datos que involucre información personal:</w:t>
      </w:r>
    </w:p>
    <w:p>
      <w:r>
        <w:t>1. El colaborador reporta inmediatamente al CISO (d.reyes@nexussoluciones.pe) y al DPO (dpo@nexussoluciones.pe).</w:t>
      </w:r>
    </w:p>
    <w:p>
      <w:r>
        <w:t>2. El DPO evalúa el riesgo para los titulares de datos en un plazo máximo de 24 horas.</w:t>
      </w:r>
    </w:p>
    <w:p>
      <w:r>
        <w:t>3. Si existe riesgo alto, el DPO notifica a INDECOPI y al cliente afectado en un plazo máximo de 72 horas desde la detección.</w:t>
      </w:r>
    </w:p>
    <w:p>
      <w:r>
        <w:t>4. TI documenta el incidente con un informe post-brecha en 5 días hábiles.</w:t>
      </w:r>
    </w:p>
    <w:p>
      <w:r>
        <w:t>5. Si aplica, se inician acciones legales y correcciones al sistema de gestión ISO 27001.</w:t>
      </w:r>
    </w:p>
    <w:p>
      <w:pPr>
        <w:pStyle w:val="Heading2"/>
        <w:jc w:val="left"/>
      </w:pPr>
      <w:r>
        <w:t>6. Derechos de los Titulares de Datos</w:t>
      </w:r>
    </w:p>
    <w:p>
      <w:pPr>
        <w:pStyle w:val="ListBullet"/>
      </w:pPr>
      <w:r>
        <w:t>• Acceso a sus datos</w:t>
      </w:r>
    </w:p>
    <w:p>
      <w:pPr>
        <w:pStyle w:val="ListBullet"/>
      </w:pPr>
      <w:r>
        <w:t>• Rectificación de datos incorrectos</w:t>
      </w:r>
    </w:p>
    <w:p>
      <w:pPr>
        <w:pStyle w:val="ListBullet"/>
      </w:pPr>
      <w:r>
        <w:t>• Cancelación o supresión</w:t>
      </w:r>
    </w:p>
    <w:p>
      <w:pPr>
        <w:pStyle w:val="ListBullet"/>
      </w:pPr>
      <w:r>
        <w:t>• Oposición al tratamiento</w:t>
      </w:r>
    </w:p>
    <w:p>
      <w:r>
        <w:rPr>
          <w:b w:val="0"/>
          <w:sz w:val="22"/>
        </w:rPr>
        <w:t>Las solicitudes de ejercicio de derechos deben dirigirse a dpo@nexussoluciones.pe. El plazo de respuesta es de 20 días hábiles.</w:t>
      </w:r>
    </w:p>
    <w:p>
      <w:pPr>
        <w:pStyle w:val="Heading2"/>
        <w:jc w:val="left"/>
      </w:pPr>
      <w:r>
        <w:t>Documentos Relacionados</w:t>
      </w:r>
    </w:p>
    <w:p>
      <w:r>
        <w:rPr>
          <w:sz w:val="22"/>
        </w:rPr>
        <w:t>Para una comprensión completa de los procesos y políticas de Nexus Soluciones S.A.C., se recomienda revisar los siguientes documentos internos: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Título del Documento</w:t>
            </w:r>
          </w:p>
        </w:tc>
        <w:tc>
          <w:tcPr>
            <w:tcW w:type="dxa" w:w="2880"/>
          </w:tcPr>
          <w:p>
            <w:r>
              <w:t>Relación</w:t>
            </w:r>
          </w:p>
        </w:tc>
      </w:tr>
      <w:tr>
        <w:tc>
          <w:tcPr>
            <w:tcW w:type="dxa" w:w="2880"/>
          </w:tcPr>
          <w:p>
            <w:r>
              <w:t>D09</w:t>
            </w:r>
          </w:p>
        </w:tc>
        <w:tc>
          <w:tcPr>
            <w:tcW w:type="dxa" w:w="2880"/>
          </w:tcPr>
          <w:p>
            <w:r>
              <w:t>Política de Seguridad de la Información y Uso de Equipos TI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D10</w:t>
            </w:r>
          </w:p>
        </w:tc>
        <w:tc>
          <w:tcPr>
            <w:tcW w:type="dxa" w:w="2880"/>
          </w:tcPr>
          <w:p>
            <w:r>
              <w:t>Procedimiento de Gestión de Incidentes de TI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D06</w:t>
            </w:r>
          </w:p>
        </w:tc>
        <w:tc>
          <w:tcPr>
            <w:tcW w:type="dxa" w:w="2880"/>
          </w:tcPr>
          <w:p>
            <w:r>
              <w:t>Código de Conducta y Ética Empresarial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D12</w:t>
            </w:r>
          </w:p>
        </w:tc>
        <w:tc>
          <w:tcPr>
            <w:tcW w:type="dxa" w:w="2880"/>
          </w:tcPr>
          <w:p>
            <w:r>
              <w:t>Procedimiento de Compras y Gestión de Proveedores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Interno — Uso Exclusivo de Colaboradores Nexus Soluciones S.A.C.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Nexus Soluciones S.A.C. — Política de Protección de Datos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