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Procedimiento de Compras y Gestión de Proveedores</w:t>
      </w:r>
    </w:p>
    <w:p>
      <w:r>
        <w:t>Código: ADMIN-PROC-001 | Versión: 3.0 | Fecha: Enero 2026 | Propietario: Gerencia de Finanzas y Administración</w:t>
      </w:r>
    </w:p>
    <w:p>
      <w:pPr>
        <w:pStyle w:val="Heading2"/>
        <w:jc w:val="left"/>
      </w:pPr>
      <w:r>
        <w:t>1. Objetivo</w:t>
      </w:r>
    </w:p>
    <w:p>
      <w:r>
        <w:rPr>
          <w:b w:val="0"/>
          <w:sz w:val="22"/>
        </w:rPr>
        <w:t>Establecer los lineamientos para la adquisición de bienes y servicios por parte de Nexus Soluciones S.A.C., asegurando eficiencia, transparencia y control del gasto.</w:t>
      </w:r>
    </w:p>
    <w:p>
      <w:pPr>
        <w:pStyle w:val="Heading2"/>
        <w:jc w:val="left"/>
      </w:pPr>
      <w:r>
        <w:t>2. Matriz de Aprobación por Monto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Rango</w:t>
            </w:r>
          </w:p>
        </w:tc>
        <w:tc>
          <w:tcPr>
            <w:tcW w:type="dxa" w:w="2160"/>
          </w:tcPr>
          <w:p>
            <w:r>
              <w:t>Aprobador</w:t>
            </w:r>
          </w:p>
        </w:tc>
        <w:tc>
          <w:tcPr>
            <w:tcW w:type="dxa" w:w="2160"/>
          </w:tcPr>
          <w:p>
            <w:r>
              <w:t>Orden de Compra</w:t>
            </w:r>
          </w:p>
        </w:tc>
        <w:tc>
          <w:tcPr>
            <w:tcW w:type="dxa" w:w="2160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Hasta S/. 500</w:t>
            </w:r>
          </w:p>
        </w:tc>
        <w:tc>
          <w:tcPr>
            <w:tcW w:type="dxa" w:w="2160"/>
          </w:tcPr>
          <w:p>
            <w:r>
              <w:t>Jefe de área</w:t>
            </w:r>
          </w:p>
        </w:tc>
        <w:tc>
          <w:tcPr>
            <w:tcW w:type="dxa" w:w="2160"/>
          </w:tcPr>
          <w:p>
            <w:r>
              <w:t>No requerida</w:t>
            </w:r>
          </w:p>
        </w:tc>
        <w:tc>
          <w:tcPr>
            <w:tcW w:type="dxa" w:w="2160"/>
          </w:tcPr>
          <w:p>
            <w:r>
              <w:t>Solicitud verbal o email + ticket en Jira</w:t>
            </w:r>
          </w:p>
        </w:tc>
      </w:tr>
      <w:tr>
        <w:tc>
          <w:tcPr>
            <w:tcW w:type="dxa" w:w="2160"/>
          </w:tcPr>
          <w:p>
            <w:r>
              <w:t>S/. 501 – S/. 2,000</w:t>
            </w:r>
          </w:p>
        </w:tc>
        <w:tc>
          <w:tcPr>
            <w:tcW w:type="dxa" w:w="2160"/>
          </w:tcPr>
          <w:p>
            <w:r>
              <w:t>Jefe de área + Analista de Compras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Formulario intranet + 2 cotizaciones</w:t>
            </w:r>
          </w:p>
        </w:tc>
      </w:tr>
      <w:tr>
        <w:tc>
          <w:tcPr>
            <w:tcW w:type="dxa" w:w="2160"/>
          </w:tcPr>
          <w:p>
            <w:r>
              <w:t>S/. 2,001 – S/. 10,000</w:t>
            </w:r>
          </w:p>
        </w:tc>
        <w:tc>
          <w:tcPr>
            <w:tcW w:type="dxa" w:w="2160"/>
          </w:tcPr>
          <w:p>
            <w:r>
              <w:t>CFO — Patricia Quispe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Formulario intranet + 3 cotizaciones + sustento técnico</w:t>
            </w:r>
          </w:p>
        </w:tc>
      </w:tr>
      <w:tr>
        <w:tc>
          <w:tcPr>
            <w:tcW w:type="dxa" w:w="2160"/>
          </w:tcPr>
          <w:p>
            <w:r>
              <w:t>Mayor a S/. 10,000</w:t>
            </w:r>
          </w:p>
        </w:tc>
        <w:tc>
          <w:tcPr>
            <w:tcW w:type="dxa" w:w="2160"/>
          </w:tcPr>
          <w:p>
            <w:r>
              <w:t>Gerente General — Ricardo Mendoza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Proceso de licitación + informe de evaluación + comité</w:t>
            </w:r>
          </w:p>
        </w:tc>
      </w:tr>
    </w:tbl>
    <w:p>
      <w:pPr>
        <w:pStyle w:val="Heading2"/>
        <w:jc w:val="left"/>
      </w:pPr>
      <w:r>
        <w:t>3. Proceso de Compra</w:t>
      </w:r>
    </w:p>
    <w:p>
      <w:r>
        <w:t>1. El área solicitante identifica la necesidad y accede al formulario en intranet.nexussoluciones.pe/compras.</w:t>
      </w:r>
    </w:p>
    <w:p>
      <w:r>
        <w:t>2. Se solicitan cotizaciones al número requerido según el rango de monto.</w:t>
      </w:r>
    </w:p>
    <w:p>
      <w:r>
        <w:t>3. El Analista de Compras (Carmen Villacorta Ruiz — c.villacorta@nexussoluciones.pe, Ext. 602) evalúa las cotizaciones.</w:t>
      </w:r>
    </w:p>
    <w:p>
      <w:r>
        <w:t>4. La solicitud se envía al aprobador correspondiente según la Matriz de Aprobación.</w:t>
      </w:r>
    </w:p>
    <w:p>
      <w:r>
        <w:t>5. El aprobador autoriza o rechaza en Jira con comentario justificado.</w:t>
      </w:r>
    </w:p>
    <w:p>
      <w:r>
        <w:t>6. Compras emite la Orden de Compra (si aplica) y coordina con el proveedor.</w:t>
      </w:r>
    </w:p>
    <w:p>
      <w:r>
        <w:t>7. El área solicitante confirma la recepción del bien o servicio en el formulario de conformidad.</w:t>
      </w:r>
    </w:p>
    <w:p>
      <w:r>
        <w:t>8. Finanzas procesa el pago según los términos acordados.</w:t>
      </w:r>
    </w:p>
    <w:p>
      <w:pPr>
        <w:pStyle w:val="Heading2"/>
        <w:jc w:val="left"/>
      </w:pPr>
      <w:r>
        <w:t>4. Proveedores Homologados</w:t>
      </w:r>
    </w:p>
    <w:p>
      <w:r>
        <w:rPr>
          <w:b w:val="0"/>
          <w:sz w:val="22"/>
        </w:rPr>
        <w:t>Nexus mantiene un registro actualizado de proveedores homologados en intranet.nexussoluciones.pe/proveedores-homologados. Para contratar con un proveedor no homologado se requiere aprobación del CFO y una evaluación de proveedor previa. La homologación incluye verificación de RUC activo, historial tributario y referencias comerciales.</w:t>
      </w:r>
    </w:p>
    <w:p>
      <w:pPr>
        <w:pStyle w:val="Heading2"/>
        <w:jc w:val="left"/>
      </w:pPr>
      <w:r>
        <w:t>5. Condiciones de Pago</w:t>
      </w:r>
    </w:p>
    <w:p>
      <w:r>
        <w:rPr>
          <w:b w:val="0"/>
          <w:sz w:val="22"/>
        </w:rPr>
        <w:t>El plazo estándar de pago a proveedores es de 30 días desde la fecha de factura. Los proveedores que acepten pago a 15 días reciben un descuento por pronto pago del 2%. Los pagos son procesados los martes y jueves de cada semana por el área de Finanzas.</w:t>
      </w:r>
    </w:p>
    <w:p>
      <w:pPr>
        <w:pStyle w:val="Heading2"/>
        <w:jc w:val="left"/>
      </w:pPr>
      <w:r>
        <w:t>6. Contacto del Área de Compras</w:t>
      </w:r>
    </w:p>
    <w:p>
      <w:r>
        <w:rPr>
          <w:b w:val="0"/>
          <w:sz w:val="22"/>
        </w:rPr>
        <w:t>Analista de Compras: Carmen Villacorta Ruiz</w:t>
        <w:br/>
        <w:t>c.villacorta@nexussoluciones.pe | Ext. 602</w:t>
        <w:br/>
        <w:t>Caja y Viáticos: Daniela Soto Peña</w:t>
        <w:br/>
        <w:t>d.soto@nexussoluciones.pe | Ext. 603</w:t>
        <w:br/>
        <w:t>Jefe de Contabilidad: Roberto Farfán Lezama</w:t>
        <w:br/>
        <w:t>r.farfan@nexussoluciones.pe | Ext. 601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D13</w:t>
            </w:r>
          </w:p>
        </w:tc>
        <w:tc>
          <w:tcPr>
            <w:tcW w:type="dxa" w:w="2880"/>
          </w:tcPr>
          <w:p>
            <w:r>
              <w:t>Política de Gastos, Viáticos y Reembolsos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>
              <w:t>Política de Protección de Datos y Manejo de Información de Clientes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D06</w:t>
            </w:r>
          </w:p>
        </w:tc>
        <w:tc>
          <w:tcPr>
            <w:tcW w:type="dxa" w:w="2880"/>
          </w:tcPr>
          <w:p>
            <w:r>
              <w:t>Código de Conducta y Ética Empresarial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Directorio Corporativo y Organigrama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Procedimiento de Compras y Gestión de Proveedores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