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Modelo de Pricing y Tarifario Profesional por Seniority</w:t>
      </w:r>
    </w:p>
    <w:p>
      <w:r>
        <w:t>Código: COMERCIAL-POL-001 | Versión: 5.2 | Fecha: Enero 2026 | Propietario: Gerencia Comercial — Carlos Amat y León Ríos | Clasificación: CONFIDENCIAL</w:t>
      </w:r>
    </w:p>
    <w:p>
      <w:pPr>
        <w:pStyle w:val="Heading2"/>
        <w:jc w:val="left"/>
      </w:pPr>
      <w:r>
        <w:t>1. Objetivo y Alcance</w:t>
      </w:r>
    </w:p>
    <w:p>
      <w:r>
        <w:rPr>
          <w:b w:val="0"/>
          <w:sz w:val="22"/>
        </w:rPr>
        <w:t>Establecer las tarifas profesionales por rol y seniority aplicables a propuestas comerciales de Nexus Soluciones S.A.C., así como los márgenes mínimos, política de descuentos, premium por industria y recargos por horarios no estándar. Aplica a todas las modalidades de contratación: tiempo y materiales (T&amp;M), precio fijo (Fixed Price) y aumento de personal (Staff Augmentation).</w:t>
      </w:r>
    </w:p>
    <w:p>
      <w:pPr>
        <w:pStyle w:val="Heading2"/>
        <w:jc w:val="left"/>
      </w:pPr>
      <w:r>
        <w:t>2. Tarifas Hora Estándar por Rol</w:t>
      </w:r>
    </w:p>
    <w:p>
      <w:r>
        <w:rPr>
          <w:b w:val="0"/>
          <w:sz w:val="22"/>
        </w:rPr>
        <w:t>Tarifas expresadas en Soles peruanos (S/.) por hora trabajada: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Tarifa Hora (S/.)</w:t>
            </w:r>
          </w:p>
        </w:tc>
      </w:tr>
      <w:tr>
        <w:tc>
          <w:tcPr>
            <w:tcW w:type="dxa" w:w="4320"/>
          </w:tcPr>
          <w:p>
            <w:r>
              <w:t>Desarrollador Junior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Desarrollador Semi-Senior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t>Desarrollador Senior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Tech Lead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Software Architect</w:t>
            </w:r>
          </w:p>
        </w:tc>
        <w:tc>
          <w:tcPr>
            <w:tcW w:type="dxa" w:w="4320"/>
          </w:tcPr>
          <w:p>
            <w:r>
              <w:t>180</w:t>
            </w:r>
          </w:p>
        </w:tc>
      </w:tr>
      <w:tr>
        <w:tc>
          <w:tcPr>
            <w:tcW w:type="dxa" w:w="4320"/>
          </w:tcPr>
          <w:p>
            <w:r>
              <w:t>QA Junior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QA Senior</w:t>
            </w:r>
          </w:p>
        </w:tc>
        <w:tc>
          <w:tcPr>
            <w:tcW w:type="dxa" w:w="4320"/>
          </w:tcPr>
          <w:p>
            <w:r>
              <w:t>95</w:t>
            </w:r>
          </w:p>
        </w:tc>
      </w:tr>
      <w:tr>
        <w:tc>
          <w:tcPr>
            <w:tcW w:type="dxa" w:w="4320"/>
          </w:tcPr>
          <w:p>
            <w:r>
              <w:t>Project Manager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Consultor Senior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Consultor Principal</w:t>
            </w:r>
          </w:p>
        </w:tc>
        <w:tc>
          <w:tcPr>
            <w:tcW w:type="dxa" w:w="4320"/>
          </w:tcPr>
          <w:p>
            <w:r>
              <w:t>210</w:t>
            </w:r>
          </w:p>
        </w:tc>
      </w:tr>
    </w:tbl>
    <w:p>
      <w:pPr>
        <w:pStyle w:val="Heading2"/>
        <w:jc w:val="left"/>
      </w:pPr>
      <w:r>
        <w:t>3. Costo Total Interno (CTC) por Rol</w:t>
      </w:r>
    </w:p>
    <w:p>
      <w:r>
        <w:rPr>
          <w:b w:val="0"/>
          <w:sz w:val="22"/>
        </w:rPr>
        <w:t>Información estrictamente confidencial. El CTC es la base interna para el cálculo de margen bruto en propuestas. Su divulgación a clientes o terceros constituye falta grave.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CTC Hora (S/.)</w:t>
            </w:r>
          </w:p>
        </w:tc>
      </w:tr>
      <w:tr>
        <w:tc>
          <w:tcPr>
            <w:tcW w:type="dxa" w:w="4320"/>
          </w:tcPr>
          <w:p>
            <w:r>
              <w:t>Desarrollador Junior</w:t>
            </w:r>
          </w:p>
        </w:tc>
        <w:tc>
          <w:tcPr>
            <w:tcW w:type="dxa" w:w="4320"/>
          </w:tcPr>
          <w:p>
            <w:r>
              <w:t>28</w:t>
            </w:r>
          </w:p>
        </w:tc>
      </w:tr>
      <w:tr>
        <w:tc>
          <w:tcPr>
            <w:tcW w:type="dxa" w:w="4320"/>
          </w:tcPr>
          <w:p>
            <w:r>
              <w:t>Desarrollador Semi-Senior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Desarrollador Senior</w:t>
            </w:r>
          </w:p>
        </w:tc>
        <w:tc>
          <w:tcPr>
            <w:tcW w:type="dxa" w:w="4320"/>
          </w:tcPr>
          <w:p>
            <w:r>
              <w:t>68</w:t>
            </w:r>
          </w:p>
        </w:tc>
      </w:tr>
      <w:tr>
        <w:tc>
          <w:tcPr>
            <w:tcW w:type="dxa" w:w="4320"/>
          </w:tcPr>
          <w:p>
            <w:r>
              <w:t>Tech Lead</w:t>
            </w:r>
          </w:p>
        </w:tc>
        <w:tc>
          <w:tcPr>
            <w:tcW w:type="dxa" w:w="4320"/>
          </w:tcPr>
          <w:p>
            <w:r>
              <w:t>92</w:t>
            </w:r>
          </w:p>
        </w:tc>
      </w:tr>
      <w:tr>
        <w:tc>
          <w:tcPr>
            <w:tcW w:type="dxa" w:w="4320"/>
          </w:tcPr>
          <w:p>
            <w:r>
              <w:t>Software Architect</w:t>
            </w:r>
          </w:p>
        </w:tc>
        <w:tc>
          <w:tcPr>
            <w:tcW w:type="dxa" w:w="4320"/>
          </w:tcPr>
          <w:p>
            <w:r>
              <w:t>115</w:t>
            </w:r>
          </w:p>
        </w:tc>
      </w:tr>
      <w:tr>
        <w:tc>
          <w:tcPr>
            <w:tcW w:type="dxa" w:w="4320"/>
          </w:tcPr>
          <w:p>
            <w:r>
              <w:t>Consultor Senior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Consultor Principal</w:t>
            </w:r>
          </w:p>
        </w:tc>
        <w:tc>
          <w:tcPr>
            <w:tcW w:type="dxa" w:w="4320"/>
          </w:tcPr>
          <w:p>
            <w:r>
              <w:t>140</w:t>
            </w:r>
          </w:p>
        </w:tc>
      </w:tr>
    </w:tbl>
    <w:p>
      <w:pPr>
        <w:pStyle w:val="Heading2"/>
        <w:jc w:val="left"/>
      </w:pPr>
      <w:r>
        <w:t>4. Margen Mínimo por Modalidad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Modalidad</w:t>
            </w:r>
          </w:p>
        </w:tc>
        <w:tc>
          <w:tcPr>
            <w:tcW w:type="dxa" w:w="4320"/>
          </w:tcPr>
          <w:p>
            <w:r>
              <w:t>Margen mínimo aceptable</w:t>
            </w:r>
          </w:p>
        </w:tc>
      </w:tr>
      <w:tr>
        <w:tc>
          <w:tcPr>
            <w:tcW w:type="dxa" w:w="4320"/>
          </w:tcPr>
          <w:p>
            <w:r>
              <w:t>Tiempo y Materiales (T&amp;M)</w:t>
            </w:r>
          </w:p>
        </w:tc>
        <w:tc>
          <w:tcPr>
            <w:tcW w:type="dxa" w:w="4320"/>
          </w:tcPr>
          <w:p>
            <w:r>
              <w:t>38%</w:t>
            </w:r>
          </w:p>
        </w:tc>
      </w:tr>
      <w:tr>
        <w:tc>
          <w:tcPr>
            <w:tcW w:type="dxa" w:w="4320"/>
          </w:tcPr>
          <w:p>
            <w:r>
              <w:t>Precio Fijo (Fixed Price)</w:t>
            </w:r>
          </w:p>
        </w:tc>
        <w:tc>
          <w:tcPr>
            <w:tcW w:type="dxa" w:w="4320"/>
          </w:tcPr>
          <w:p>
            <w:r>
              <w:t>42%</w:t>
            </w:r>
          </w:p>
        </w:tc>
      </w:tr>
      <w:tr>
        <w:tc>
          <w:tcPr>
            <w:tcW w:type="dxa" w:w="4320"/>
          </w:tcPr>
          <w:p>
            <w:r>
              <w:t>Staff Augmentation</w:t>
            </w:r>
          </w:p>
        </w:tc>
        <w:tc>
          <w:tcPr>
            <w:tcW w:type="dxa" w:w="4320"/>
          </w:tcPr>
          <w:p>
            <w:r>
              <w:t>28%</w:t>
            </w:r>
          </w:p>
        </w:tc>
      </w:tr>
    </w:tbl>
    <w:p>
      <w:r>
        <w:rPr>
          <w:b w:val="0"/>
          <w:sz w:val="22"/>
        </w:rPr>
        <w:t>Toda propuesta que no alcance el margen mínimo requiere aprobación expresa del CEO y debe sustentarse en valor estratégico (entrada a nueva cuenta, cierre de competidor, etc.).</w:t>
      </w:r>
    </w:p>
    <w:p>
      <w:pPr>
        <w:pStyle w:val="Heading2"/>
        <w:jc w:val="left"/>
      </w:pPr>
      <w:r>
        <w:t>5. Política de Descuentos Autorizados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Rango de descuento</w:t>
            </w:r>
          </w:p>
        </w:tc>
        <w:tc>
          <w:tcPr>
            <w:tcW w:type="dxa" w:w="4320"/>
          </w:tcPr>
          <w:p>
            <w:r>
              <w:t>Aprobador requerido</w:t>
            </w:r>
          </w:p>
        </w:tc>
      </w:tr>
      <w:tr>
        <w:tc>
          <w:tcPr>
            <w:tcW w:type="dxa" w:w="4320"/>
          </w:tcPr>
          <w:p>
            <w:r>
              <w:t>0% – 5%</w:t>
            </w:r>
          </w:p>
        </w:tc>
        <w:tc>
          <w:tcPr>
            <w:tcW w:type="dxa" w:w="4320"/>
          </w:tcPr>
          <w:p>
            <w:r>
              <w:t>Gerente Comercial</w:t>
            </w:r>
          </w:p>
        </w:tc>
      </w:tr>
      <w:tr>
        <w:tc>
          <w:tcPr>
            <w:tcW w:type="dxa" w:w="4320"/>
          </w:tcPr>
          <w:p>
            <w:r>
              <w:t>5.01% – 10%</w:t>
            </w:r>
          </w:p>
        </w:tc>
        <w:tc>
          <w:tcPr>
            <w:tcW w:type="dxa" w:w="4320"/>
          </w:tcPr>
          <w:p>
            <w:r>
              <w:t>Gerente General (CEO)</w:t>
            </w:r>
          </w:p>
        </w:tc>
      </w:tr>
      <w:tr>
        <w:tc>
          <w:tcPr>
            <w:tcW w:type="dxa" w:w="4320"/>
          </w:tcPr>
          <w:p>
            <w:r>
              <w:t>Mayor a 10%</w:t>
            </w:r>
          </w:p>
        </w:tc>
        <w:tc>
          <w:tcPr>
            <w:tcW w:type="dxa" w:w="4320"/>
          </w:tcPr>
          <w:p>
            <w:r>
              <w:t>Directorio</w:t>
            </w:r>
          </w:p>
        </w:tc>
      </w:tr>
    </w:tbl>
    <w:p>
      <w:pPr>
        <w:pStyle w:val="Heading2"/>
        <w:jc w:val="left"/>
      </w:pPr>
      <w:r>
        <w:t>6. Premium por Industria Regulada</w:t>
      </w:r>
    </w:p>
    <w:p>
      <w:r>
        <w:rPr>
          <w:b w:val="0"/>
          <w:sz w:val="22"/>
        </w:rPr>
        <w:t>Los sectores con alta regulación de datos y compliance reciben un recargo sobre la tarifa estándar, en reconocimiento del esfuerzo adicional de cumplimiento normativo y seguridad: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Industria</w:t>
            </w:r>
          </w:p>
        </w:tc>
        <w:tc>
          <w:tcPr>
            <w:tcW w:type="dxa" w:w="4320"/>
          </w:tcPr>
          <w:p>
            <w:r>
              <w:t>Premium aplicable</w:t>
            </w:r>
          </w:p>
        </w:tc>
      </w:tr>
      <w:tr>
        <w:tc>
          <w:tcPr>
            <w:tcW w:type="dxa" w:w="4320"/>
          </w:tcPr>
          <w:p>
            <w:r>
              <w:t>Banca y Finanzas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Salud</w:t>
            </w:r>
          </w:p>
        </w:tc>
        <w:tc>
          <w:tcPr>
            <w:tcW w:type="dxa" w:w="4320"/>
          </w:tcPr>
          <w:p>
            <w:r>
              <w:t>+12%</w:t>
            </w:r>
          </w:p>
        </w:tc>
      </w:tr>
      <w:tr>
        <w:tc>
          <w:tcPr>
            <w:tcW w:type="dxa" w:w="4320"/>
          </w:tcPr>
          <w:p>
            <w:r>
              <w:t>Seguros</w:t>
            </w:r>
          </w:p>
        </w:tc>
        <w:tc>
          <w:tcPr>
            <w:tcW w:type="dxa" w:w="4320"/>
          </w:tcPr>
          <w:p>
            <w:r>
              <w:t>+10%</w:t>
            </w:r>
          </w:p>
        </w:tc>
      </w:tr>
      <w:tr>
        <w:tc>
          <w:tcPr>
            <w:tcW w:type="dxa" w:w="4320"/>
          </w:tcPr>
          <w:p>
            <w:r>
              <w:t>Retail</w:t>
            </w:r>
          </w:p>
        </w:tc>
        <w:tc>
          <w:tcPr>
            <w:tcW w:type="dxa" w:w="4320"/>
          </w:tcPr>
          <w:p>
            <w:r>
              <w:t>+5%</w:t>
            </w:r>
          </w:p>
        </w:tc>
      </w:tr>
    </w:tbl>
    <w:p>
      <w:pPr>
        <w:pStyle w:val="Heading2"/>
        <w:jc w:val="left"/>
      </w:pPr>
      <w:r>
        <w:t>7. Recargos por Horarios No Estándar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 de jornada</w:t>
            </w:r>
          </w:p>
        </w:tc>
        <w:tc>
          <w:tcPr>
            <w:tcW w:type="dxa" w:w="4320"/>
          </w:tcPr>
          <w:p>
            <w:r>
              <w:t>Recargo sobre tarifa estándar</w:t>
            </w:r>
          </w:p>
        </w:tc>
      </w:tr>
      <w:tr>
        <w:tc>
          <w:tcPr>
            <w:tcW w:type="dxa" w:w="4320"/>
          </w:tcPr>
          <w:p>
            <w:r>
              <w:t>Fuera de horario (lunes–viernes 19:00–07:00)</w:t>
            </w:r>
          </w:p>
        </w:tc>
        <w:tc>
          <w:tcPr>
            <w:tcW w:type="dxa" w:w="4320"/>
          </w:tcPr>
          <w:p>
            <w:r>
              <w:t>+50%</w:t>
            </w:r>
          </w:p>
        </w:tc>
      </w:tr>
      <w:tr>
        <w:tc>
          <w:tcPr>
            <w:tcW w:type="dxa" w:w="4320"/>
          </w:tcPr>
          <w:p>
            <w:r>
              <w:t>Fines de semana (sábado y domingo)</w:t>
            </w:r>
          </w:p>
        </w:tc>
        <w:tc>
          <w:tcPr>
            <w:tcW w:type="dxa" w:w="4320"/>
          </w:tcPr>
          <w:p>
            <w:r>
              <w:t>+100%</w:t>
            </w:r>
          </w:p>
        </w:tc>
      </w:tr>
      <w:tr>
        <w:tc>
          <w:tcPr>
            <w:tcW w:type="dxa" w:w="4320"/>
          </w:tcPr>
          <w:p>
            <w:r>
              <w:t>Emergencia inmediata (atención &lt;2 h)</w:t>
            </w:r>
          </w:p>
        </w:tc>
        <w:tc>
          <w:tcPr>
            <w:tcW w:type="dxa" w:w="4320"/>
          </w:tcPr>
          <w:p>
            <w:r>
              <w:t>+150%</w:t>
            </w:r>
          </w:p>
        </w:tc>
      </w:tr>
    </w:tbl>
    <w:p>
      <w:pPr>
        <w:pStyle w:val="Heading2"/>
        <w:jc w:val="left"/>
      </w:pPr>
      <w:r>
        <w:t>8. Ciclo de Revisión de Tarifas</w:t>
      </w:r>
    </w:p>
    <w:p>
      <w:r>
        <w:rPr>
          <w:b w:val="0"/>
          <w:sz w:val="22"/>
        </w:rPr>
        <w:t>La revisión ordinaria de tarifas se realiza anualmente cada enero. Se gatilla una revisión extraordinaria si el IPC acumulado supera 5% o si el tipo de cambio USD/PEN supera 4.20. La aprobación de la nueva tabla corresponde al CEO previa propuesta de la Gerencia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CONFIDENCIAL — Uso Interno Restringido — Prohibida su reproducción o divulgación externa sin autorización.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Modelo de Pricing y Tarifario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