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Playbook de Propuestas Comerciales y Respuesta a RFP</w:t>
      </w:r>
    </w:p>
    <w:p>
      <w:r>
        <w:t>Código: COMERCIAL-PROC-001 | Versión: 3.0 | Fecha: Febrero 2026 | Propietario: Gerencia Comercial | Clasificación: CONFIDENCIAL</w:t>
      </w:r>
    </w:p>
    <w:p>
      <w:pPr>
        <w:pStyle w:val="Heading2"/>
        <w:jc w:val="left"/>
      </w:pPr>
      <w:r>
        <w:t>1. Pipeline Comercial Estandarizado</w:t>
      </w:r>
    </w:p>
    <w:p>
      <w:r>
        <w:rPr>
          <w:b w:val="0"/>
          <w:sz w:val="22"/>
        </w:rPr>
        <w:t>Toda oportunidad comercial debe avanzar por las siguientes etapas, registradas en el CRM interno (Nexus Pipeline):</w:t>
      </w:r>
    </w:p>
    <w:p>
      <w:r>
        <w:t>1. Lead</w:t>
      </w:r>
    </w:p>
    <w:p>
      <w:r>
        <w:t>2. Qualify</w:t>
      </w:r>
    </w:p>
    <w:p>
      <w:r>
        <w:t>3. Discovery</w:t>
      </w:r>
    </w:p>
    <w:p>
      <w:r>
        <w:t>4. Propuesta</w:t>
      </w:r>
    </w:p>
    <w:p>
      <w:r>
        <w:t>5. Negociación</w:t>
      </w:r>
    </w:p>
    <w:p>
      <w:r>
        <w:t>6. Cierre</w:t>
      </w:r>
    </w:p>
    <w:p>
      <w:r>
        <w:t>7. Handoff a Delivery</w:t>
      </w:r>
    </w:p>
    <w:p>
      <w:pPr>
        <w:pStyle w:val="Heading2"/>
        <w:jc w:val="left"/>
      </w:pPr>
      <w:r>
        <w:t>2. SLA Interno de Respuesta a RFP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Monto estimado</w:t>
            </w:r>
          </w:p>
        </w:tc>
        <w:tc>
          <w:tcPr>
            <w:tcW w:type="dxa" w:w="4320"/>
          </w:tcPr>
          <w:p>
            <w:r>
              <w:t>Plazo máximo de respuesta</w:t>
            </w:r>
          </w:p>
        </w:tc>
      </w:tr>
      <w:tr>
        <w:tc>
          <w:tcPr>
            <w:tcW w:type="dxa" w:w="4320"/>
          </w:tcPr>
          <w:p>
            <w:r>
              <w:t>Menor a S/. 200,000</w:t>
            </w:r>
          </w:p>
        </w:tc>
        <w:tc>
          <w:tcPr>
            <w:tcW w:type="dxa" w:w="4320"/>
          </w:tcPr>
          <w:p>
            <w:r>
              <w:t>5 días hábiles</w:t>
            </w:r>
          </w:p>
        </w:tc>
      </w:tr>
      <w:tr>
        <w:tc>
          <w:tcPr>
            <w:tcW w:type="dxa" w:w="4320"/>
          </w:tcPr>
          <w:p>
            <w:r>
              <w:t>Mayor a S/. 200,000</w:t>
            </w:r>
          </w:p>
        </w:tc>
        <w:tc>
          <w:tcPr>
            <w:tcW w:type="dxa" w:w="4320"/>
          </w:tcPr>
          <w:p>
            <w:r>
              <w:t>10 días hábiles</w:t>
            </w:r>
          </w:p>
        </w:tc>
      </w:tr>
    </w:tbl>
    <w:p>
      <w:r>
        <w:rPr>
          <w:b w:val="0"/>
          <w:sz w:val="22"/>
        </w:rPr>
        <w:t>El plazo se cuenta desde la recepción formal del RFP. Toda excepción debe ser autorizada por la Gerencia Comercial.</w:t>
      </w:r>
    </w:p>
    <w:p>
      <w:pPr>
        <w:pStyle w:val="Heading2"/>
        <w:jc w:val="left"/>
      </w:pPr>
      <w:r>
        <w:t>3. Aprobaciones por Monto de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Monto de la propuesta</w:t>
            </w:r>
          </w:p>
        </w:tc>
        <w:tc>
          <w:tcPr>
            <w:tcW w:type="dxa" w:w="4320"/>
          </w:tcPr>
          <w:p>
            <w:r>
              <w:t>Aprobador final</w:t>
            </w:r>
          </w:p>
        </w:tc>
      </w:tr>
      <w:tr>
        <w:tc>
          <w:tcPr>
            <w:tcW w:type="dxa" w:w="4320"/>
          </w:tcPr>
          <w:p>
            <w:r>
              <w:t>Hasta S/. 100,000</w:t>
            </w:r>
          </w:p>
        </w:tc>
        <w:tc>
          <w:tcPr>
            <w:tcW w:type="dxa" w:w="4320"/>
          </w:tcPr>
          <w:p>
            <w:r>
              <w:t>Gerente Comercial</w:t>
            </w:r>
          </w:p>
        </w:tc>
      </w:tr>
      <w:tr>
        <w:tc>
          <w:tcPr>
            <w:tcW w:type="dxa" w:w="4320"/>
          </w:tcPr>
          <w:p>
            <w:r>
              <w:t>S/. 100,001 – S/. 500,000</w:t>
            </w:r>
          </w:p>
        </w:tc>
        <w:tc>
          <w:tcPr>
            <w:tcW w:type="dxa" w:w="4320"/>
          </w:tcPr>
          <w:p>
            <w:r>
              <w:t>Gerente General (CEO)</w:t>
            </w:r>
          </w:p>
        </w:tc>
      </w:tr>
      <w:tr>
        <w:tc>
          <w:tcPr>
            <w:tcW w:type="dxa" w:w="4320"/>
          </w:tcPr>
          <w:p>
            <w:r>
              <w:t>Mayor a S/. 500,000</w:t>
            </w:r>
          </w:p>
        </w:tc>
        <w:tc>
          <w:tcPr>
            <w:tcW w:type="dxa" w:w="4320"/>
          </w:tcPr>
          <w:p>
            <w:r>
              <w:t>Directorio</w:t>
            </w:r>
          </w:p>
        </w:tc>
      </w:tr>
    </w:tbl>
    <w:p>
      <w:pPr>
        <w:pStyle w:val="Heading2"/>
        <w:jc w:val="left"/>
      </w:pPr>
      <w:r>
        <w:t>4. Plantilla Obligatoria de Propuesta</w:t>
      </w:r>
    </w:p>
    <w:p>
      <w:pPr>
        <w:pStyle w:val="ListBullet"/>
      </w:pPr>
      <w:r>
        <w:t>• Resumen ejecutivo</w:t>
      </w:r>
    </w:p>
    <w:p>
      <w:pPr>
        <w:pStyle w:val="ListBullet"/>
      </w:pPr>
      <w:r>
        <w:t>• Entendimiento del negocio del cliente</w:t>
      </w:r>
    </w:p>
    <w:p>
      <w:pPr>
        <w:pStyle w:val="ListBullet"/>
      </w:pPr>
      <w:r>
        <w:t>• Enfoque y metodología</w:t>
      </w:r>
    </w:p>
    <w:p>
      <w:pPr>
        <w:pStyle w:val="ListBullet"/>
      </w:pPr>
      <w:r>
        <w:t>• Equipo propuesto con CV de roles clave</w:t>
      </w:r>
    </w:p>
    <w:p>
      <w:pPr>
        <w:pStyle w:val="ListBullet"/>
      </w:pPr>
      <w:r>
        <w:t>• Cronograma e hitos</w:t>
      </w:r>
    </w:p>
    <w:p>
      <w:pPr>
        <w:pStyle w:val="ListBullet"/>
      </w:pPr>
      <w:r>
        <w:t>• Inversión y modalidad</w:t>
      </w:r>
    </w:p>
    <w:p>
      <w:pPr>
        <w:pStyle w:val="ListBullet"/>
      </w:pPr>
      <w:r>
        <w:t>• Supuestos, exclusiones y dependencias</w:t>
      </w:r>
    </w:p>
    <w:p>
      <w:pPr>
        <w:pStyle w:val="Heading2"/>
        <w:jc w:val="left"/>
      </w:pPr>
      <w:r>
        <w:t>5. Matriz Go/No-Go</w:t>
      </w:r>
    </w:p>
    <w:p>
      <w:r>
        <w:rPr>
          <w:b w:val="0"/>
          <w:sz w:val="22"/>
        </w:rPr>
        <w:t>Antes de invertir esfuerzo en una propuesta, el Comité Comercial evalúa la oportunidad contra ocho criterios ponderados:</w:t>
      </w:r>
    </w:p>
    <w:p>
      <w:r>
        <w:t>1. Encaje técnico con el stack aprobado (ver D19).</w:t>
      </w:r>
    </w:p>
    <w:p>
      <w:r>
        <w:t>2. Margen estimado igual o superior al mínimo por modalidad (ver D16).</w:t>
      </w:r>
    </w:p>
    <w:p>
      <w:r>
        <w:t>3. Riesgo país y solvencia del cliente.</w:t>
      </w:r>
    </w:p>
    <w:p>
      <w:r>
        <w:t>4. Capacidad disponible en el período propuesto.</w:t>
      </w:r>
    </w:p>
    <w:p>
      <w:r>
        <w:t>5. Alineación estratégica con sectores foco (Banca, Salud, Retail, Seguros).</w:t>
      </w:r>
    </w:p>
    <w:p>
      <w:r>
        <w:t>6. Términos contractuales aceptables (ver red flags).</w:t>
      </w:r>
    </w:p>
    <w:p>
      <w:r>
        <w:t>7. Existencia de referencia o caso previo aplicable.</w:t>
      </w:r>
    </w:p>
    <w:p>
      <w:r>
        <w:t>8. Probabilidad estimada de cierre igual o mayor a 30%.</w:t>
      </w:r>
    </w:p>
    <w:p>
      <w:pPr>
        <w:pStyle w:val="Heading2"/>
        <w:jc w:val="left"/>
      </w:pPr>
      <w:r>
        <w:t>6. Red Flags Contractuales</w:t>
      </w:r>
    </w:p>
    <w:p>
      <w:r>
        <w:rPr>
          <w:b w:val="0"/>
          <w:sz w:val="22"/>
        </w:rPr>
        <w:t>Las siguientes cláusulas requieren revisión obligatoria de Legal y suelen ser motivo de rechazo o renegociación:</w:t>
      </w:r>
    </w:p>
    <w:p>
      <w:pPr>
        <w:pStyle w:val="ListBullet"/>
      </w:pPr>
      <w:r>
        <w:t>• Penalidades superiores al 10% del valor del contrato.</w:t>
      </w:r>
    </w:p>
    <w:p>
      <w:pPr>
        <w:pStyle w:val="ListBullet"/>
      </w:pPr>
      <w:r>
        <w:t>• Cesión irrestricta de propiedad intelectual de código o conocimiento.</w:t>
      </w:r>
    </w:p>
    <w:p>
      <w:pPr>
        <w:pStyle w:val="ListBullet"/>
      </w:pPr>
      <w:r>
        <w:t>• Jurisdicción extranjera sin cláusula de arbitraje en Lima.</w:t>
      </w:r>
    </w:p>
    <w:p>
      <w:pPr>
        <w:pStyle w:val="ListBullet"/>
      </w:pPr>
      <w:r>
        <w:t>• Exclusividad no compensada económicamente.</w:t>
      </w:r>
    </w:p>
    <w:p>
      <w:pPr>
        <w:pStyle w:val="ListBullet"/>
      </w:pPr>
      <w:r>
        <w:t>• Indemnización ilimitada por daños.</w:t>
      </w:r>
    </w:p>
    <w:p>
      <w:pPr>
        <w:pStyle w:val="Heading2"/>
        <w:jc w:val="left"/>
      </w:pPr>
      <w:r>
        <w:t>7. Lessons Learned — Propuestas Perdidas (Resumen)</w:t>
      </w:r>
    </w:p>
    <w:p>
      <w:r>
        <w:rPr>
          <w:b w:val="0"/>
          <w:sz w:val="22"/>
        </w:rPr>
        <w:t>Casos representativos de propuestas perdidas en los últimos 24 meses y su causa raíz principal (información disociada del cliente, uso interno de aprendizaje):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2880"/>
          </w:tcPr>
          <w:p>
            <w:r>
              <w:t>Modalidad</w:t>
            </w:r>
          </w:p>
        </w:tc>
        <w:tc>
          <w:tcPr>
            <w:tcW w:type="dxa" w:w="2880"/>
          </w:tcPr>
          <w:p>
            <w:r>
              <w:t>Causa raíz principal</w:t>
            </w:r>
          </w:p>
        </w:tc>
      </w:tr>
      <w:tr>
        <w:tc>
          <w:tcPr>
            <w:tcW w:type="dxa" w:w="2880"/>
          </w:tcPr>
          <w:p>
            <w:r>
              <w:t>Banca</w:t>
            </w:r>
          </w:p>
        </w:tc>
        <w:tc>
          <w:tcPr>
            <w:tcW w:type="dxa" w:w="2880"/>
          </w:tcPr>
          <w:p>
            <w:r>
              <w:t>Fixed Price</w:t>
            </w:r>
          </w:p>
        </w:tc>
        <w:tc>
          <w:tcPr>
            <w:tcW w:type="dxa" w:w="2880"/>
          </w:tcPr>
          <w:p>
            <w:r>
              <w:t>Estimación optimista del esfuerzo de integración core bancario.</w:t>
            </w:r>
          </w:p>
        </w:tc>
      </w:tr>
      <w:tr>
        <w:tc>
          <w:tcPr>
            <w:tcW w:type="dxa" w:w="2880"/>
          </w:tcPr>
          <w:p>
            <w:r>
              <w:t>Retail</w:t>
            </w:r>
          </w:p>
        </w:tc>
        <w:tc>
          <w:tcPr>
            <w:tcW w:type="dxa" w:w="2880"/>
          </w:tcPr>
          <w:p>
            <w:r>
              <w:t>T&amp;M</w:t>
            </w:r>
          </w:p>
        </w:tc>
        <w:tc>
          <w:tcPr>
            <w:tcW w:type="dxa" w:w="2880"/>
          </w:tcPr>
          <w:p>
            <w:r>
              <w:t>Tarifa hora 18% sobre el promedio del mercado sin diferencial técnico claro.</w:t>
            </w:r>
          </w:p>
        </w:tc>
      </w:tr>
      <w:tr>
        <w:tc>
          <w:tcPr>
            <w:tcW w:type="dxa" w:w="2880"/>
          </w:tcPr>
          <w:p>
            <w:r>
              <w:t>Salud</w:t>
            </w:r>
          </w:p>
        </w:tc>
        <w:tc>
          <w:tcPr>
            <w:tcW w:type="dxa" w:w="2880"/>
          </w:tcPr>
          <w:p>
            <w:r>
              <w:t>Fixed Price</w:t>
            </w:r>
          </w:p>
        </w:tc>
        <w:tc>
          <w:tcPr>
            <w:tcW w:type="dxa" w:w="2880"/>
          </w:tcPr>
          <w:p>
            <w:r>
              <w:t>Falta de referencia previa en módulo de historia clínica electrónica.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CONFIDENCIAL — Uso Interno Restringido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Playbook de Propuestas y RFP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