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Cartera de Clientes Activos y Maestro de Contratos</w:t>
      </w:r>
    </w:p>
    <w:p>
      <w:r>
        <w:t>Código: COMERCIAL-REG-001 | Versión: 4.1 | Fecha: Marzo 2026 | Propietario: Gerencia Comercial + CFO | Clasificación: ESTRICTAMENTE CONFIDENCIAL</w:t>
      </w:r>
    </w:p>
    <w:p>
      <w:pPr>
        <w:pStyle w:val="Heading2"/>
        <w:jc w:val="left"/>
      </w:pPr>
      <w:r>
        <w:t>1. Top 10 Clientes Activos 2026</w:t>
      </w:r>
    </w:p>
    <w:p>
      <w:r>
        <w:rPr>
          <w:b w:val="0"/>
          <w:sz w:val="22"/>
        </w:rPr>
        <w:t>Cartera estratégica de Nexus al cierre del primer trimestre 2026. Los montos consignados corresponden al valor anualizado del contrato vigente.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Cliente</w:t>
            </w:r>
          </w:p>
        </w:tc>
        <w:tc>
          <w:tcPr>
            <w:tcW w:type="dxa" w:w="1440"/>
          </w:tcPr>
          <w:p>
            <w:r>
              <w:t>Sector</w:t>
            </w:r>
          </w:p>
        </w:tc>
        <w:tc>
          <w:tcPr>
            <w:tcW w:type="dxa" w:w="1440"/>
          </w:tcPr>
          <w:p>
            <w:r>
              <w:t>Contrato Anual (S/.)</w:t>
            </w:r>
          </w:p>
        </w:tc>
        <w:tc>
          <w:tcPr>
            <w:tcW w:type="dxa" w:w="1440"/>
          </w:tcPr>
          <w:p>
            <w:r>
              <w:t>Sponsor Nexus</w:t>
            </w:r>
          </w:p>
        </w:tc>
        <w:tc>
          <w:tcPr>
            <w:tcW w:type="dxa" w:w="1440"/>
          </w:tcPr>
          <w:p>
            <w:r>
              <w:t>Inicio</w:t>
            </w:r>
          </w:p>
        </w:tc>
        <w:tc>
          <w:tcPr>
            <w:tcW w:type="dxa" w:w="1440"/>
          </w:tcPr>
          <w:p>
            <w:r>
              <w:t>Renovación</w:t>
            </w:r>
          </w:p>
        </w:tc>
      </w:tr>
      <w:tr>
        <w:tc>
          <w:tcPr>
            <w:tcW w:type="dxa" w:w="1440"/>
          </w:tcPr>
          <w:p>
            <w:r>
              <w:t>Banco Andino del Perú</w:t>
            </w:r>
          </w:p>
        </w:tc>
        <w:tc>
          <w:tcPr>
            <w:tcW w:type="dxa" w:w="1440"/>
          </w:tcPr>
          <w:p>
            <w:r>
              <w:t>Banca y Finanzas</w:t>
            </w:r>
          </w:p>
        </w:tc>
        <w:tc>
          <w:tcPr>
            <w:tcW w:type="dxa" w:w="1440"/>
          </w:tcPr>
          <w:p>
            <w:r>
              <w:t>1,850,000</w:t>
            </w:r>
          </w:p>
        </w:tc>
        <w:tc>
          <w:tcPr>
            <w:tcW w:type="dxa" w:w="1440"/>
          </w:tcPr>
          <w:p>
            <w:r>
              <w:t>Carlos Amat y León Ríos</w:t>
            </w:r>
          </w:p>
        </w:tc>
        <w:tc>
          <w:tcPr>
            <w:tcW w:type="dxa" w:w="1440"/>
          </w:tcPr>
          <w:p>
            <w:r>
              <w:t>2022-04-01</w:t>
            </w:r>
          </w:p>
        </w:tc>
        <w:tc>
          <w:tcPr>
            <w:tcW w:type="dxa" w:w="1440"/>
          </w:tcPr>
          <w:p>
            <w:r>
              <w:t>2027-03-31</w:t>
            </w:r>
          </w:p>
        </w:tc>
      </w:tr>
      <w:tr>
        <w:tc>
          <w:tcPr>
            <w:tcW w:type="dxa" w:w="1440"/>
          </w:tcPr>
          <w:p>
            <w:r>
              <w:t>Retail Norte SAC</w:t>
            </w:r>
          </w:p>
        </w:tc>
        <w:tc>
          <w:tcPr>
            <w:tcW w:type="dxa" w:w="1440"/>
          </w:tcPr>
          <w:p>
            <w:r>
              <w:t>Retail</w:t>
            </w:r>
          </w:p>
        </w:tc>
        <w:tc>
          <w:tcPr>
            <w:tcW w:type="dxa" w:w="1440"/>
          </w:tcPr>
          <w:p>
            <w:r>
              <w:t>1,240,000</w:t>
            </w:r>
          </w:p>
        </w:tc>
        <w:tc>
          <w:tcPr>
            <w:tcW w:type="dxa" w:w="1440"/>
          </w:tcPr>
          <w:p>
            <w:r>
              <w:t>Patricia Quispe Huamán</w:t>
            </w:r>
          </w:p>
        </w:tc>
        <w:tc>
          <w:tcPr>
            <w:tcW w:type="dxa" w:w="1440"/>
          </w:tcPr>
          <w:p>
            <w:r>
              <w:t>2023-01-15</w:t>
            </w:r>
          </w:p>
        </w:tc>
        <w:tc>
          <w:tcPr>
            <w:tcW w:type="dxa" w:w="1440"/>
          </w:tcPr>
          <w:p>
            <w:r>
              <w:t>2026-12-31</w:t>
            </w:r>
          </w:p>
        </w:tc>
      </w:tr>
      <w:tr>
        <w:tc>
          <w:tcPr>
            <w:tcW w:type="dxa" w:w="1440"/>
          </w:tcPr>
          <w:p>
            <w:r>
              <w:t>Clínica San Borja</w:t>
            </w:r>
          </w:p>
        </w:tc>
        <w:tc>
          <w:tcPr>
            <w:tcW w:type="dxa" w:w="1440"/>
          </w:tcPr>
          <w:p>
            <w:r>
              <w:t>Salud</w:t>
            </w:r>
          </w:p>
        </w:tc>
        <w:tc>
          <w:tcPr>
            <w:tcW w:type="dxa" w:w="1440"/>
          </w:tcPr>
          <w:p>
            <w:r>
              <w:t>980,000</w:t>
            </w:r>
          </w:p>
        </w:tc>
        <w:tc>
          <w:tcPr>
            <w:tcW w:type="dxa" w:w="1440"/>
          </w:tcPr>
          <w:p>
            <w:r>
              <w:t>Andrés Flores Castillo</w:t>
            </w:r>
          </w:p>
        </w:tc>
        <w:tc>
          <w:tcPr>
            <w:tcW w:type="dxa" w:w="1440"/>
          </w:tcPr>
          <w:p>
            <w:r>
              <w:t>2023-07-01</w:t>
            </w:r>
          </w:p>
        </w:tc>
        <w:tc>
          <w:tcPr>
            <w:tcW w:type="dxa" w:w="1440"/>
          </w:tcPr>
          <w:p>
            <w:r>
              <w:t>2026-06-30</w:t>
            </w:r>
          </w:p>
        </w:tc>
      </w:tr>
      <w:tr>
        <w:tc>
          <w:tcPr>
            <w:tcW w:type="dxa" w:w="1440"/>
          </w:tcPr>
          <w:p>
            <w:r>
              <w:t>Seguros Pacífico Sur</w:t>
            </w:r>
          </w:p>
        </w:tc>
        <w:tc>
          <w:tcPr>
            <w:tcW w:type="dxa" w:w="1440"/>
          </w:tcPr>
          <w:p>
            <w:r>
              <w:t>Seguros</w:t>
            </w:r>
          </w:p>
        </w:tc>
        <w:tc>
          <w:tcPr>
            <w:tcW w:type="dxa" w:w="1440"/>
          </w:tcPr>
          <w:p>
            <w:r>
              <w:t>760,000</w:t>
            </w:r>
          </w:p>
        </w:tc>
        <w:tc>
          <w:tcPr>
            <w:tcW w:type="dxa" w:w="1440"/>
          </w:tcPr>
          <w:p>
            <w:r>
              <w:t>Carlos Amat y León Ríos</w:t>
            </w:r>
          </w:p>
        </w:tc>
        <w:tc>
          <w:tcPr>
            <w:tcW w:type="dxa" w:w="1440"/>
          </w:tcPr>
          <w:p>
            <w:r>
              <w:t>2024-02-01</w:t>
            </w:r>
          </w:p>
        </w:tc>
        <w:tc>
          <w:tcPr>
            <w:tcW w:type="dxa" w:w="1440"/>
          </w:tcPr>
          <w:p>
            <w:r>
              <w:t>2027-01-31</w:t>
            </w:r>
          </w:p>
        </w:tc>
      </w:tr>
      <w:tr>
        <w:tc>
          <w:tcPr>
            <w:tcW w:type="dxa" w:w="1440"/>
          </w:tcPr>
          <w:p>
            <w:r>
              <w:t>MicroFinanzas Inka</w:t>
            </w:r>
          </w:p>
        </w:tc>
        <w:tc>
          <w:tcPr>
            <w:tcW w:type="dxa" w:w="1440"/>
          </w:tcPr>
          <w:p>
            <w:r>
              <w:t>Banca y Finanzas</w:t>
            </w:r>
          </w:p>
        </w:tc>
        <w:tc>
          <w:tcPr>
            <w:tcW w:type="dxa" w:w="1440"/>
          </w:tcPr>
          <w:p>
            <w:r>
              <w:t>620,000</w:t>
            </w:r>
          </w:p>
        </w:tc>
        <w:tc>
          <w:tcPr>
            <w:tcW w:type="dxa" w:w="1440"/>
          </w:tcPr>
          <w:p>
            <w:r>
              <w:t>Patricia Quispe Huamán</w:t>
            </w:r>
          </w:p>
        </w:tc>
        <w:tc>
          <w:tcPr>
            <w:tcW w:type="dxa" w:w="1440"/>
          </w:tcPr>
          <w:p>
            <w:r>
              <w:t>2024-09-01</w:t>
            </w:r>
          </w:p>
        </w:tc>
        <w:tc>
          <w:tcPr>
            <w:tcW w:type="dxa" w:w="1440"/>
          </w:tcPr>
          <w:p>
            <w:r>
              <w:t>2026-08-31</w:t>
            </w:r>
          </w:p>
        </w:tc>
      </w:tr>
    </w:tbl>
    <w:p>
      <w:pPr>
        <w:pStyle w:val="Heading2"/>
        <w:jc w:val="left"/>
      </w:pPr>
      <w:r>
        <w:t>2. Concentración de Ingresos</w:t>
      </w:r>
    </w:p>
    <w:p>
      <w:r>
        <w:rPr>
          <w:b w:val="0"/>
          <w:sz w:val="22"/>
        </w:rPr>
        <w:t>Política de gestión de riesgo de concentración: ningún cliente puede representar más del 25% de los ingresos anuales totales. Actualmente la concentración del cliente top es de 20.1%, dentro del umbral aceptable.</w:t>
      </w:r>
    </w:p>
    <w:p>
      <w:pPr>
        <w:pStyle w:val="Heading2"/>
        <w:jc w:val="left"/>
      </w:pPr>
      <w:r>
        <w:t>3. SLA Contractual por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Uptime comprometido</w:t>
            </w:r>
          </w:p>
        </w:tc>
        <w:tc>
          <w:tcPr>
            <w:tcW w:type="dxa" w:w="2880"/>
          </w:tcPr>
          <w:p>
            <w:r>
              <w:t>Penalidad por incumplimiento</w:t>
            </w:r>
          </w:p>
        </w:tc>
      </w:tr>
      <w:tr>
        <w:tc>
          <w:tcPr>
            <w:tcW w:type="dxa" w:w="2880"/>
          </w:tcPr>
          <w:p>
            <w:r>
              <w:t>Banco Andino del Perú</w:t>
            </w:r>
          </w:p>
        </w:tc>
        <w:tc>
          <w:tcPr>
            <w:tcW w:type="dxa" w:w="2880"/>
          </w:tcPr>
          <w:p>
            <w:r>
              <w:t>99.7%</w:t>
            </w:r>
          </w:p>
        </w:tc>
        <w:tc>
          <w:tcPr>
            <w:tcW w:type="dxa" w:w="2880"/>
          </w:tcPr>
          <w:p>
            <w:r>
              <w:t>8% del contrato anual por evento</w:t>
            </w:r>
          </w:p>
        </w:tc>
      </w:tr>
      <w:tr>
        <w:tc>
          <w:tcPr>
            <w:tcW w:type="dxa" w:w="2880"/>
          </w:tcPr>
          <w:p>
            <w:r>
              <w:t>Retail Norte SAC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5% del contrato anual por evento</w:t>
            </w:r>
          </w:p>
        </w:tc>
      </w:tr>
      <w:tr>
        <w:tc>
          <w:tcPr>
            <w:tcW w:type="dxa" w:w="2880"/>
          </w:tcPr>
          <w:p>
            <w:r>
              <w:t>Clínica San Borja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  <w:tc>
          <w:tcPr>
            <w:tcW w:type="dxa" w:w="2880"/>
          </w:tcPr>
          <w:p>
            <w:r>
              <w:t>10% del contrato anual por evento</w:t>
            </w:r>
          </w:p>
        </w:tc>
      </w:tr>
      <w:tr>
        <w:tc>
          <w:tcPr>
            <w:tcW w:type="dxa" w:w="2880"/>
          </w:tcPr>
          <w:p>
            <w:r>
              <w:t>Seguros Pacífico Sur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6% del contrato anual por evento</w:t>
            </w:r>
          </w:p>
        </w:tc>
      </w:tr>
      <w:tr>
        <w:tc>
          <w:tcPr>
            <w:tcW w:type="dxa" w:w="2880"/>
          </w:tcPr>
          <w:p>
            <w:r>
              <w:t>MicroFinanzas Inka</w:t>
            </w:r>
          </w:p>
        </w:tc>
        <w:tc>
          <w:tcPr>
            <w:tcW w:type="dxa" w:w="2880"/>
          </w:tcPr>
          <w:p>
            <w:r>
              <w:t>99.0%</w:t>
            </w:r>
          </w:p>
        </w:tc>
        <w:tc>
          <w:tcPr>
            <w:tcW w:type="dxa" w:w="2880"/>
          </w:tcPr>
          <w:p>
            <w:r>
              <w:t>4% del contrato anual por evento</w:t>
            </w:r>
          </w:p>
        </w:tc>
      </w:tr>
    </w:tbl>
    <w:p>
      <w:pPr>
        <w:pStyle w:val="Heading2"/>
        <w:jc w:val="left"/>
      </w:pPr>
      <w:r>
        <w:t>4. Acuerdos de Confidencialidad (NDAs)</w:t>
      </w:r>
    </w:p>
    <w:p>
      <w:r>
        <w:rPr>
          <w:b w:val="0"/>
          <w:sz w:val="22"/>
        </w:rPr>
        <w:t>Nexus mantiene 18 NDAs activos al corte de marzo 2026, incluyendo NDAs mutuos y unilaterales con clientes, prospectos en negociación y proveedores estratégicos. El registro maestro de NDAs es administrado por la Gerencia Legal.</w:t>
      </w:r>
    </w:p>
    <w:p>
      <w:pPr>
        <w:pStyle w:val="Heading2"/>
        <w:jc w:val="left"/>
      </w:pPr>
      <w:r>
        <w:t>5. Riesgos Comerciales Abiertos</w:t>
      </w:r>
    </w:p>
    <w:p>
      <w:pPr>
        <w:pStyle w:val="ListBullet"/>
      </w:pPr>
      <w:r>
        <w:t>• Renovación en riesgo: Clínica San Borja presenta demoras significativas en el proyecto HIS, lo cual ha generado fricción con el sponsor del cliente.</w:t>
      </w:r>
    </w:p>
    <w:p>
      <w:pPr>
        <w:pStyle w:val="ListBullet"/>
      </w:pPr>
      <w:r>
        <w:t>• Cliente moroso: MicroFinanzas Inka registra 45 días de atraso en el pago de la última factura mensual.</w:t>
      </w:r>
    </w:p>
    <w:p>
      <w:pPr>
        <w:pStyle w:val="ListBullet"/>
      </w:pPr>
      <w:r>
        <w:t>• Disputa activa: Retail Norte SAC ha formalizado reclamo por 3 incumplimientos de SLA durante el Q1-2026, con potencial aplicación de penalidad acumulada.</w:t>
      </w:r>
    </w:p>
    <w:p>
      <w:pPr>
        <w:pStyle w:val="Heading2"/>
        <w:jc w:val="left"/>
      </w:pPr>
      <w:r>
        <w:t>6. Plan de Retención de Cuentas Estratégicas</w:t>
      </w:r>
    </w:p>
    <w:p>
      <w:r>
        <w:rPr>
          <w:b w:val="0"/>
          <w:sz w:val="22"/>
        </w:rPr>
        <w:t>Cada cuenta del Top 5 cuenta con un Account Plan trimestral revisado por la Gerencia Comercial. El plan incluye health score, oportunidades de upsell/cross-sell, riesgos específicos y acciones de relación ejecutiva. Para detalle por cuenta consultar el repositorio comercial interno.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ESTRICTAMENTE CONFIDENCIAL — Acceso por NDA — Prohibida su reproducción o divulgación externa sin autorización.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Cartera de Clientes y Contratos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