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Arquitecturas de Referencia y Estándares Técnicos (ADRs)</w:t>
      </w:r>
    </w:p>
    <w:p>
      <w:r>
        <w:t>Código: TI-EST-001 | Versión: 2.7 | Fecha: Febrero 2026 | Propietario: CTO — Andrés Flores Castillo | Clasificación: CONFIDENCIAL</w:t>
      </w:r>
    </w:p>
    <w:p>
      <w:pPr>
        <w:pStyle w:val="Heading2"/>
        <w:jc w:val="left"/>
      </w:pPr>
      <w:r>
        <w:t>1. Stack Tecnológico Aprobado</w:t>
      </w:r>
    </w:p>
    <w:p>
      <w:r>
        <w:rPr>
          <w:b/>
          <w:sz w:val="22"/>
        </w:rPr>
        <w:t>Lenguajes:</w:t>
      </w:r>
    </w:p>
    <w:p>
      <w:r>
        <w:rPr>
          <w:b w:val="0"/>
          <w:sz w:val="22"/>
        </w:rPr>
        <w:t>Python 3.11+, Java 17+, TypeScript 5+, .NET 8.</w:t>
      </w:r>
    </w:p>
    <w:p>
      <w:r>
        <w:rPr>
          <w:b/>
          <w:sz w:val="22"/>
        </w:rPr>
        <w:t>Frameworks Backend:</w:t>
      </w:r>
    </w:p>
    <w:p>
      <w:r>
        <w:rPr>
          <w:b w:val="0"/>
          <w:sz w:val="22"/>
        </w:rPr>
        <w:t>FastAPI, Spring Boot, NestJS, ASP.NET Core.</w:t>
      </w:r>
    </w:p>
    <w:p>
      <w:r>
        <w:rPr>
          <w:b/>
          <w:sz w:val="22"/>
        </w:rPr>
        <w:t>Frameworks Frontend:</w:t>
      </w:r>
    </w:p>
    <w:p>
      <w:r>
        <w:rPr>
          <w:b w:val="0"/>
          <w:sz w:val="22"/>
        </w:rPr>
        <w:t>React 18+, Next.js 14+, Angular 17+.</w:t>
      </w:r>
    </w:p>
    <w:p>
      <w:r>
        <w:rPr>
          <w:b/>
          <w:sz w:val="22"/>
        </w:rPr>
        <w:t>Bases de datos:</w:t>
      </w:r>
    </w:p>
    <w:p>
      <w:r>
        <w:rPr>
          <w:b w:val="0"/>
          <w:sz w:val="22"/>
        </w:rPr>
        <w:t>PostgreSQL 15+ (relacional por defecto), MongoDB 6+, Redis 7+, SQL Server 2022.</w:t>
      </w:r>
    </w:p>
    <w:p>
      <w:r>
        <w:rPr>
          <w:b/>
          <w:sz w:val="22"/>
        </w:rPr>
        <w:t>Cloud:</w:t>
      </w:r>
    </w:p>
    <w:p>
      <w:r>
        <w:rPr>
          <w:b w:val="0"/>
          <w:sz w:val="22"/>
        </w:rPr>
        <w:t>AWS es el cloud primario aprobado. Azure es secundario y solo se utiliza por requisito del cliente. GCP queda disponible exclusivamente por excepción autorizada por el CTO.</w:t>
      </w:r>
    </w:p>
    <w:p>
      <w:r>
        <w:rPr>
          <w:b/>
          <w:sz w:val="22"/>
        </w:rPr>
        <w:t>Mensajería:</w:t>
      </w:r>
    </w:p>
    <w:p>
      <w:r>
        <w:rPr>
          <w:b w:val="0"/>
          <w:sz w:val="22"/>
        </w:rPr>
        <w:t>Apache Kafka, AWS SQS, RabbitMQ.</w:t>
      </w:r>
    </w:p>
    <w:p>
      <w:pPr>
        <w:pStyle w:val="Heading2"/>
        <w:jc w:val="left"/>
      </w:pPr>
      <w:r>
        <w:t>2. Patrones Técnicos Obligatorios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Aspecto</w:t>
            </w:r>
          </w:p>
        </w:tc>
        <w:tc>
          <w:tcPr>
            <w:tcW w:type="dxa" w:w="4320"/>
          </w:tcPr>
          <w:p>
            <w:r>
              <w:t>Estándar obligatorio</w:t>
            </w:r>
          </w:p>
        </w:tc>
      </w:tr>
      <w:tr>
        <w:tc>
          <w:tcPr>
            <w:tcW w:type="dxa" w:w="4320"/>
          </w:tcPr>
          <w:p>
            <w:r>
              <w:t>Autenticación</w:t>
            </w:r>
          </w:p>
        </w:tc>
        <w:tc>
          <w:tcPr>
            <w:tcW w:type="dxa" w:w="4320"/>
          </w:tcPr>
          <w:p>
            <w:r>
              <w:t>OAuth 2.0 + OIDC.</w:t>
            </w:r>
          </w:p>
        </w:tc>
      </w:tr>
      <w:tr>
        <w:tc>
          <w:tcPr>
            <w:tcW w:type="dxa" w:w="4320"/>
          </w:tcPr>
          <w:p>
            <w:r>
              <w:t>Logging</w:t>
            </w:r>
          </w:p>
        </w:tc>
        <w:tc>
          <w:tcPr>
            <w:tcW w:type="dxa" w:w="4320"/>
          </w:tcPr>
          <w:p>
            <w:r>
              <w:t>Estructurado en JSON con correlation_id.</w:t>
            </w:r>
          </w:p>
        </w:tc>
      </w:tr>
      <w:tr>
        <w:tc>
          <w:tcPr>
            <w:tcW w:type="dxa" w:w="4320"/>
          </w:tcPr>
          <w:p>
            <w:r>
              <w:t>Observabilidad</w:t>
            </w:r>
          </w:p>
        </w:tc>
        <w:tc>
          <w:tcPr>
            <w:tcW w:type="dxa" w:w="4320"/>
          </w:tcPr>
          <w:p>
            <w:r>
              <w:t>OpenTelemetry obligatorio en todo servicio productivo.</w:t>
            </w:r>
          </w:p>
        </w:tc>
      </w:tr>
      <w:tr>
        <w:tc>
          <w:tcPr>
            <w:tcW w:type="dxa" w:w="4320"/>
          </w:tcPr>
          <w:p>
            <w:r>
              <w:t>Gestión de secretos</w:t>
            </w:r>
          </w:p>
        </w:tc>
        <w:tc>
          <w:tcPr>
            <w:tcW w:type="dxa" w:w="4320"/>
          </w:tcPr>
          <w:p>
            <w:r>
              <w:t>HashiCorp Vault o AWS Secrets Manager. Prohibido en código o variables de entorno en claro.</w:t>
            </w:r>
          </w:p>
        </w:tc>
      </w:tr>
    </w:tbl>
    <w:p>
      <w:pPr>
        <w:pStyle w:val="Heading2"/>
        <w:jc w:val="left"/>
      </w:pPr>
      <w:r>
        <w:t>3. Estándares de Seguridad de Código</w:t>
      </w:r>
    </w:p>
    <w:p>
      <w:r>
        <w:rPr>
          <w:b w:val="0"/>
          <w:sz w:val="22"/>
        </w:rPr>
        <w:t>Nivel base obligatorio: OWASP ASVS Nivel 2.</w:t>
      </w:r>
    </w:p>
    <w:p>
      <w:r>
        <w:rPr>
          <w:b w:val="0"/>
          <w:sz w:val="22"/>
        </w:rPr>
        <w:t>SAST en CI: obligatorio en todos los repositorios.</w:t>
      </w:r>
    </w:p>
    <w:p>
      <w:r>
        <w:rPr>
          <w:b w:val="0"/>
          <w:sz w:val="22"/>
        </w:rPr>
        <w:t>DAST: obligatorio antes de cada release a producción.</w:t>
      </w:r>
    </w:p>
    <w:p>
      <w:r>
        <w:rPr>
          <w:b w:val="0"/>
          <w:sz w:val="22"/>
        </w:rPr>
        <w:t>Escaneo de dependencias: Snyk o Dependabot en todos los repos.</w:t>
      </w:r>
    </w:p>
    <w:p>
      <w:pPr>
        <w:pStyle w:val="Heading2"/>
        <w:jc w:val="left"/>
      </w:pPr>
      <w:r>
        <w:t>4. Política de Licencias Open Source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Categoría</w:t>
            </w:r>
          </w:p>
        </w:tc>
        <w:tc>
          <w:tcPr>
            <w:tcW w:type="dxa" w:w="4320"/>
          </w:tcPr>
          <w:p>
            <w:r>
              <w:t>Licencias</w:t>
            </w:r>
          </w:p>
        </w:tc>
      </w:tr>
      <w:tr>
        <w:tc>
          <w:tcPr>
            <w:tcW w:type="dxa" w:w="4320"/>
          </w:tcPr>
          <w:p>
            <w:r>
              <w:t>Permitidas sin restricción</w:t>
            </w:r>
          </w:p>
        </w:tc>
        <w:tc>
          <w:tcPr>
            <w:tcW w:type="dxa" w:w="4320"/>
          </w:tcPr>
          <w:p>
            <w:r>
              <w:t>MIT, Apache-2.0, BSD-2-Clause, BSD-3-Clause, ISC.</w:t>
            </w:r>
          </w:p>
        </w:tc>
      </w:tr>
      <w:tr>
        <w:tc>
          <w:tcPr>
            <w:tcW w:type="dxa" w:w="4320"/>
          </w:tcPr>
          <w:p>
            <w:r>
              <w:t>Requieren revisión previa de Legal</w:t>
            </w:r>
          </w:p>
        </w:tc>
        <w:tc>
          <w:tcPr>
            <w:tcW w:type="dxa" w:w="4320"/>
          </w:tcPr>
          <w:p>
            <w:r>
              <w:t>LGPL, MPL-2.0.</w:t>
            </w:r>
          </w:p>
        </w:tc>
      </w:tr>
      <w:tr>
        <w:tc>
          <w:tcPr>
            <w:tcW w:type="dxa" w:w="4320"/>
          </w:tcPr>
          <w:p>
            <w:r>
              <w:t>Prohibidas en código entregable</w:t>
            </w:r>
          </w:p>
        </w:tc>
        <w:tc>
          <w:tcPr>
            <w:tcW w:type="dxa" w:w="4320"/>
          </w:tcPr>
          <w:p>
            <w:r>
              <w:t>GPL-2.0, GPL-3.0, AGPL-3.0.</w:t>
            </w:r>
          </w:p>
        </w:tc>
      </w:tr>
    </w:tbl>
    <w:p>
      <w:pPr>
        <w:pStyle w:val="Heading2"/>
        <w:jc w:val="left"/>
      </w:pPr>
      <w:r>
        <w:t>5. Catálogo de ADRs Vigentes (Selección)</w:t>
      </w:r>
    </w:p>
    <w:p>
      <w:r>
        <w:rPr>
          <w:b w:val="0"/>
          <w:sz w:val="22"/>
        </w:rPr>
        <w:t>Nexus mantiene 15 Architecture Decision Records activos. Destacan: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  <w:tc>
          <w:tcPr>
            <w:tcW w:type="dxa" w:w="2160"/>
          </w:tcPr>
          <w:p>
            <w:r>
              <w:t>Fecha</w:t>
            </w:r>
          </w:p>
        </w:tc>
      </w:tr>
      <w:tr>
        <w:tc>
          <w:tcPr>
            <w:tcW w:type="dxa" w:w="2160"/>
          </w:tcPr>
          <w:p>
            <w:r>
              <w:t>ADR-007</w:t>
            </w:r>
          </w:p>
        </w:tc>
        <w:tc>
          <w:tcPr>
            <w:tcW w:type="dxa" w:w="2160"/>
          </w:tcPr>
          <w:p>
            <w:r>
              <w:t>Adopción de event-driven con Kafka para integraciones bancarias</w:t>
            </w:r>
          </w:p>
        </w:tc>
        <w:tc>
          <w:tcPr>
            <w:tcW w:type="dxa" w:w="2160"/>
          </w:tcPr>
          <w:p>
            <w:r>
              <w:t>Accepted</w:t>
            </w:r>
          </w:p>
        </w:tc>
        <w:tc>
          <w:tcPr>
            <w:tcW w:type="dxa" w:w="2160"/>
          </w:tcPr>
          <w:p>
            <w:r>
              <w:t>2024-08-12</w:t>
            </w:r>
          </w:p>
        </w:tc>
      </w:tr>
      <w:tr>
        <w:tc>
          <w:tcPr>
            <w:tcW w:type="dxa" w:w="2160"/>
          </w:tcPr>
          <w:p>
            <w:r>
              <w:t>ADR-012</w:t>
            </w:r>
          </w:p>
        </w:tc>
        <w:tc>
          <w:tcPr>
            <w:tcW w:type="dxa" w:w="2160"/>
          </w:tcPr>
          <w:p>
            <w:r>
              <w:t>Migración de monolitos legacy a modular monolith antes de microservicios</w:t>
            </w:r>
          </w:p>
        </w:tc>
        <w:tc>
          <w:tcPr>
            <w:tcW w:type="dxa" w:w="2160"/>
          </w:tcPr>
          <w:p>
            <w:r>
              <w:t>Accepted</w:t>
            </w:r>
          </w:p>
        </w:tc>
        <w:tc>
          <w:tcPr>
            <w:tcW w:type="dxa" w:w="2160"/>
          </w:tcPr>
          <w:p>
            <w:r>
              <w:t>2025-03-04</w:t>
            </w:r>
          </w:p>
        </w:tc>
      </w:tr>
      <w:tr>
        <w:tc>
          <w:tcPr>
            <w:tcW w:type="dxa" w:w="2160"/>
          </w:tcPr>
          <w:p>
            <w:r>
              <w:t>ADR-014</w:t>
            </w:r>
          </w:p>
        </w:tc>
        <w:tc>
          <w:tcPr>
            <w:tcW w:type="dxa" w:w="2160"/>
          </w:tcPr>
          <w:p>
            <w:r>
              <w:t>Adopción de PostgreSQL como BD relacional por defecto</w:t>
            </w:r>
          </w:p>
        </w:tc>
        <w:tc>
          <w:tcPr>
            <w:tcW w:type="dxa" w:w="2160"/>
          </w:tcPr>
          <w:p>
            <w:r>
              <w:t>Accepted</w:t>
            </w:r>
          </w:p>
        </w:tc>
        <w:tc>
          <w:tcPr>
            <w:tcW w:type="dxa" w:w="2160"/>
          </w:tcPr>
          <w:p>
            <w:r>
              <w:t>2025-09-21</w:t>
            </w:r>
          </w:p>
        </w:tc>
      </w:tr>
    </w:tbl>
    <w:p>
      <w:pPr>
        <w:pStyle w:val="Heading2"/>
        <w:jc w:val="left"/>
      </w:pPr>
      <w:r>
        <w:t>6. Arquitecturas de Referencia por Dominio</w:t>
      </w:r>
    </w:p>
    <w:p>
      <w:r>
        <w:rPr>
          <w:b w:val="0"/>
          <w:sz w:val="22"/>
        </w:rPr>
        <w:t>Existen tres arquitecturas de referencia mantenidas por el equipo de Arquitectura: core banking (incluye event sourcing y patrones de conciliación), e-commerce retail (escalabilidad horizontal y CDN), y HIS hospitalario (interoperabilidad HL7 FHIR y anonimización de datos sensibles).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CONFIDENCIAL — Uso Interno Restringido — Prohibida su reproducción o divulgación externa sin autorización.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Nexus Soluciones S.A.C. — Arquitecturas de Referencia y Estándares Técnicos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