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Catálogo de Post-Mortems y Lessons Learned</w:t>
      </w:r>
    </w:p>
    <w:p>
      <w:r>
        <w:t>Código: TI-CONOC-001 | Versión: 2.4 | Fecha: Marzo 2026 | Propietario: CTO + PMO | Clasificación: CONFIDENCIAL</w:t>
      </w:r>
    </w:p>
    <w:p>
      <w:pPr>
        <w:pStyle w:val="Heading2"/>
        <w:jc w:val="left"/>
      </w:pPr>
      <w:r>
        <w:t>1. Política Blameless de Post-Mortems</w:t>
      </w:r>
    </w:p>
    <w:p>
      <w:r>
        <w:rPr>
          <w:b w:val="0"/>
          <w:sz w:val="22"/>
        </w:rPr>
        <w:t>Todo post-mortem en Nexus se realiza bajo política blameless: el objetivo es aprender y mejorar el sistema, no identificar responsables individuales. Los post-mortems tienen distribución restringida al equipo del proyecto y al CTO. Compartir un post-mortem con un cliente requiere aprobación previa de la Gerencia Comercial.</w:t>
      </w:r>
    </w:p>
    <w:p>
      <w:pPr>
        <w:pStyle w:val="Heading2"/>
        <w:jc w:val="left"/>
      </w:pPr>
      <w:r>
        <w:t>2. Plantilla Estándar de Post-Mortem</w:t>
      </w:r>
    </w:p>
    <w:p>
      <w:pPr>
        <w:pStyle w:val="ListBullet"/>
      </w:pPr>
      <w:r>
        <w:t>• Resumen ejecutivo y línea de tiempo.</w:t>
      </w:r>
    </w:p>
    <w:p>
      <w:pPr>
        <w:pStyle w:val="ListBullet"/>
      </w:pPr>
      <w:r>
        <w:t>• Impacto cuantificado (clientes afectados, servicios caídos, duración).</w:t>
      </w:r>
    </w:p>
    <w:p>
      <w:pPr>
        <w:pStyle w:val="ListBullet"/>
      </w:pPr>
      <w:r>
        <w:t>• Detección y respuesta inicial.</w:t>
      </w:r>
    </w:p>
    <w:p>
      <w:pPr>
        <w:pStyle w:val="ListBullet"/>
      </w:pPr>
      <w:r>
        <w:t>• Análisis de causa raíz (5 Whys o Ishikawa).</w:t>
      </w:r>
    </w:p>
    <w:p>
      <w:pPr>
        <w:pStyle w:val="ListBullet"/>
      </w:pPr>
      <w:r>
        <w:t>• Qué funcionó bien.</w:t>
      </w:r>
    </w:p>
    <w:p>
      <w:pPr>
        <w:pStyle w:val="ListBullet"/>
      </w:pPr>
      <w:r>
        <w:t>• Qué no funcionó.</w:t>
      </w:r>
    </w:p>
    <w:p>
      <w:pPr>
        <w:pStyle w:val="ListBullet"/>
      </w:pPr>
      <w:r>
        <w:t>• Acciones correctivas con responsable y fecha.</w:t>
      </w:r>
    </w:p>
    <w:p>
      <w:pPr>
        <w:pStyle w:val="ListBullet"/>
      </w:pPr>
      <w:r>
        <w:t>• Acciones preventivas estructurales.</w:t>
      </w:r>
    </w:p>
    <w:p>
      <w:pPr>
        <w:pStyle w:val="Heading2"/>
        <w:jc w:val="left"/>
      </w:pPr>
      <w:r>
        <w:t>3. Métricas Agregadas del Catálogo (2023–2025)</w:t>
      </w:r>
    </w:p>
    <w:p>
      <w:r>
        <w:rPr>
          <w:b w:val="0"/>
          <w:sz w:val="22"/>
        </w:rPr>
        <w:t>Incidentes mayores documentados en el período: 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Severidad</w:t>
            </w:r>
          </w:p>
        </w:tc>
        <w:tc>
          <w:tcPr>
            <w:tcW w:type="dxa" w:w="4320"/>
          </w:tcPr>
          <w:p>
            <w:r>
              <w:t>MTTR promedio (horas)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8.7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26.4</w:t>
            </w:r>
          </w:p>
        </w:tc>
      </w:tr>
      <w:tr>
        <w:tc>
          <w:tcPr>
            <w:tcW w:type="dxa" w:w="4320"/>
          </w:tcPr>
          <w:p>
            <w:r>
              <w:t>P4</w:t>
            </w:r>
          </w:p>
        </w:tc>
        <w:tc>
          <w:tcPr>
            <w:tcW w:type="dxa" w:w="4320"/>
          </w:tcPr>
          <w:p>
            <w:r>
              <w:t>72.0</w:t>
            </w:r>
          </w:p>
        </w:tc>
      </w:tr>
    </w:tbl>
    <w:p>
      <w:r>
        <w:rPr>
          <w:b w:val="0"/>
          <w:sz w:val="22"/>
        </w:rPr>
        <w:t>El 22% de los incidentes mayores presenta una causa raíz ya observada en incidentes anteriores. Este indicador es seguido trimestralmente por el CTO como métrica de efectividad del aprendizaje organizacional.</w:t>
      </w:r>
    </w:p>
    <w:p>
      <w:pPr>
        <w:pStyle w:val="Heading2"/>
        <w:jc w:val="left"/>
      </w:pPr>
      <w:r>
        <w:t>4. Top 5 Causas Raíz Recurrentes</w:t>
      </w:r>
    </w:p>
    <w:p>
      <w:r>
        <w:t>1. Cambios en producción sin feature flag.</w:t>
      </w:r>
    </w:p>
    <w:p>
      <w:r>
        <w:t>2. Falla de capacidad por crecimiento no anticipado.</w:t>
      </w:r>
    </w:p>
    <w:p>
      <w:r>
        <w:t>3. Configuraciones incorrectas en cutover.</w:t>
      </w:r>
    </w:p>
    <w:p>
      <w:r>
        <w:t>4. Dependencias de terceros sin contingencia.</w:t>
      </w:r>
    </w:p>
    <w:p>
      <w:r>
        <w:t>5. Gaps en pruebas de carga.</w:t>
      </w:r>
    </w:p>
    <w:p>
      <w:pPr>
        <w:pStyle w:val="Heading2"/>
        <w:jc w:val="left"/>
      </w:pPr>
      <w:r>
        <w:t>5. Acciones Estructurales en Curso</w:t>
      </w:r>
    </w:p>
    <w:p>
      <w:r>
        <w:rPr>
          <w:b w:val="0"/>
          <w:sz w:val="22"/>
        </w:rPr>
        <w:t>El comité de arquitectura mantiene un backlog de acciones de mitigación derivadas del análisis recurrente de causas raíz, incluyendo: adopción obligatoria de feature flags en todos los servicios críticos, runbooks de capacity planning trimestrales, checklist estandarizado de cutover y simulacros de pruebas de carga previo a cada release mayor.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CONFIDENCIAL — Uso Interno Restringido — Prohibida su reproducción o divulgación externa sin autorización.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Post-Mortems y Lessons Learned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