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Runbook de Delivery — SDLC Interno</w:t>
      </w:r>
    </w:p>
    <w:p>
      <w:r>
        <w:t>Código: TI-PROC-002 | Versión: 4.0 | Fecha: Enero 2026 | Propietario: CTO + PMO | Clasificación: USO INTERNO</w:t>
      </w:r>
    </w:p>
    <w:p>
      <w:pPr>
        <w:pStyle w:val="Heading2"/>
        <w:jc w:val="left"/>
      </w:pPr>
      <w:r>
        <w:t>1. Fases del Ciclo de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Duración</w:t>
            </w:r>
          </w:p>
        </w:tc>
        <w:tc>
          <w:tcPr>
            <w:tcW w:type="dxa" w:w="2880"/>
          </w:tcPr>
          <w:p>
            <w:r>
              <w:t>Criterio de salida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2–4 semanas</w:t>
            </w:r>
          </w:p>
        </w:tc>
        <w:tc>
          <w:tcPr>
            <w:tcW w:type="dxa" w:w="2880"/>
          </w:tcPr>
          <w:p>
            <w:r>
              <w:t>Visión aprobada, backlog inicial, arquitectura macro.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2–6 semanas</w:t>
            </w:r>
          </w:p>
        </w:tc>
        <w:tc>
          <w:tcPr>
            <w:tcW w:type="dxa" w:w="2880"/>
          </w:tcPr>
          <w:p>
            <w:r>
              <w:t>ADRs principales firmados, prototipos UX, plan de pruebas.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Iterativo (sprints)</w:t>
            </w:r>
          </w:p>
        </w:tc>
        <w:tc>
          <w:tcPr>
            <w:tcW w:type="dxa" w:w="2880"/>
          </w:tcPr>
          <w:p>
            <w:r>
              <w:t>Sprints con Definition of Done cumplido.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Incluido en Build</w:t>
            </w:r>
          </w:p>
        </w:tc>
        <w:tc>
          <w:tcPr>
            <w:tcW w:type="dxa" w:w="2880"/>
          </w:tcPr>
          <w:p>
            <w:r>
              <w:t>Cobertura mínima alcanzada, pruebas E2E verdes.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1–2 semanas</w:t>
            </w:r>
          </w:p>
        </w:tc>
        <w:tc>
          <w:tcPr>
            <w:tcW w:type="dxa" w:w="2880"/>
          </w:tcPr>
          <w:p>
            <w:r>
              <w:t>Cutover ejecutado, smoke tests OK, runbook operativo entregado.</w:t>
            </w:r>
          </w:p>
        </w:tc>
      </w:tr>
      <w:tr>
        <w:tc>
          <w:tcPr>
            <w:tcW w:type="dxa" w:w="2880"/>
          </w:tcPr>
          <w:p>
            <w:r>
              <w:t>Hypercare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  <w:tc>
          <w:tcPr>
            <w:tcW w:type="dxa" w:w="2880"/>
          </w:tcPr>
          <w:p>
            <w:r>
              <w:t>Cero incidentes P1 abiertos, KT a soporte completado.</w:t>
            </w:r>
          </w:p>
        </w:tc>
      </w:tr>
    </w:tbl>
    <w:p>
      <w:pPr>
        <w:pStyle w:val="Heading2"/>
        <w:jc w:val="left"/>
      </w:pPr>
      <w:r>
        <w:t>2. Definition of Done a Tres Niveles</w:t>
      </w:r>
    </w:p>
    <w:p>
      <w:r>
        <w:rPr>
          <w:b/>
          <w:sz w:val="22"/>
        </w:rPr>
        <w:t>Historia (story):</w:t>
      </w:r>
    </w:p>
    <w:p>
      <w:r>
        <w:rPr>
          <w:b w:val="0"/>
          <w:sz w:val="22"/>
        </w:rPr>
        <w:t>Código revisado por par, cobertura de tests unitarios sobre la regla aceptada, documentación de API actualizada si aplica.</w:t>
      </w:r>
    </w:p>
    <w:p>
      <w:r>
        <w:rPr>
          <w:b/>
          <w:sz w:val="22"/>
        </w:rPr>
        <w:t>Sprint:</w:t>
      </w:r>
    </w:p>
    <w:p>
      <w:r>
        <w:rPr>
          <w:b w:val="0"/>
          <w:sz w:val="22"/>
        </w:rPr>
        <w:t>Demo realizada, criterios de aceptación validados, deuda técnica registrada en backlog.</w:t>
      </w:r>
    </w:p>
    <w:p>
      <w:r>
        <w:rPr>
          <w:b/>
          <w:sz w:val="22"/>
        </w:rPr>
        <w:t>Release:</w:t>
      </w:r>
    </w:p>
    <w:p>
      <w:r>
        <w:rPr>
          <w:b w:val="0"/>
          <w:sz w:val="22"/>
        </w:rPr>
        <w:t>Pruebas E2E verdes, plan de rollback validado, runbook operativo entregado a soporte, manual de usuario actualizado.</w:t>
      </w:r>
    </w:p>
    <w:p>
      <w:pPr>
        <w:pStyle w:val="Heading2"/>
        <w:jc w:val="left"/>
      </w:pPr>
      <w:r>
        <w:t>3. Ceremonias Agile Obligatorias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Ceremonia</w:t>
            </w:r>
          </w:p>
        </w:tc>
        <w:tc>
          <w:tcPr>
            <w:tcW w:type="dxa" w:w="2880"/>
          </w:tcPr>
          <w:p>
            <w:r>
              <w:t>Cadencia</w:t>
            </w:r>
          </w:p>
        </w:tc>
        <w:tc>
          <w:tcPr>
            <w:tcW w:type="dxa" w:w="2880"/>
          </w:tcPr>
          <w:p>
            <w:r>
              <w:t>Duración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Diaria</w:t>
            </w:r>
          </w:p>
        </w:tc>
        <w:tc>
          <w:tcPr>
            <w:tcW w:type="dxa" w:w="2880"/>
          </w:tcPr>
          <w:p>
            <w:r>
              <w:t>15 minutos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Quincenal</w:t>
            </w:r>
          </w:p>
        </w:tc>
        <w:tc>
          <w:tcPr>
            <w:tcW w:type="dxa" w:w="2880"/>
          </w:tcPr>
          <w:p>
            <w:r>
              <w:t>2 horas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Quincenal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Retrospectiva</w:t>
            </w:r>
          </w:p>
        </w:tc>
        <w:tc>
          <w:tcPr>
            <w:tcW w:type="dxa" w:w="2880"/>
          </w:tcPr>
          <w:p>
            <w:r>
              <w:t>Quincenal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  <w:tr>
        <w:tc>
          <w:tcPr>
            <w:tcW w:type="dxa" w:w="2880"/>
          </w:tcPr>
          <w:p>
            <w:r>
              <w:t>Refinement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</w:tr>
    </w:tbl>
    <w:p>
      <w:pPr>
        <w:pStyle w:val="Heading2"/>
        <w:jc w:val="left"/>
      </w:pPr>
      <w:r>
        <w:t>4. Knowledge Transfer y Handoff a Soporte</w:t>
      </w:r>
    </w:p>
    <w:p>
      <w:r>
        <w:rPr>
          <w:b w:val="0"/>
          <w:sz w:val="22"/>
        </w:rPr>
        <w:t>Todo proyecto debe ejecutar un Knowledge Transfer al equipo de soporte con duración mínima obligatoria de 2 semanas. El KT incluye: walkthrough de arquitectura, runbook operativo, escenarios típicos de soporte y sesiones de shadowing.</w:t>
      </w:r>
    </w:p>
    <w:p>
      <w:pPr>
        <w:pStyle w:val="Heading2"/>
        <w:jc w:val="left"/>
      </w:pPr>
      <w:r>
        <w:t>5. Artefactos Obligatorios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Artefactos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Documento de visión, backlog inicial, mapa de stakeholders.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ADRs, prototipos UX, plan de pruebas, modelo de datos.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Código en repositorio, tests automatizados, demos quincenales.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Runbook operativo, plan de rollback, evidencia de smoke tests.</w:t>
            </w:r>
          </w:p>
        </w:tc>
      </w:tr>
      <w:tr>
        <w:tc>
          <w:tcPr>
            <w:tcW w:type="dxa" w:w="4320"/>
          </w:tcPr>
          <w:p>
            <w:r>
              <w:t>Hypercare</w:t>
            </w:r>
          </w:p>
        </w:tc>
        <w:tc>
          <w:tcPr>
            <w:tcW w:type="dxa" w:w="4320"/>
          </w:tcPr>
          <w:p>
            <w:r>
              <w:t>Reporte semanal de tickets, KT firmado por soporte, manual de usuario.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USO INTERNO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Runbook de Delivery / SDLC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