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Gestión de Incidentes con Cliente y Cumplimiento de SLA</w:t>
      </w:r>
    </w:p>
    <w:p>
      <w:r>
        <w:t>Código: COMERCIAL-PROC-002 | Versión: 3.3 | Fecha: Febrero 2026 | Propietario: Gerencia Comercial + CTO | Clasificación: CONFIDENCIAL</w:t>
      </w:r>
    </w:p>
    <w:p>
      <w:pPr>
        <w:pStyle w:val="Heading2"/>
        <w:jc w:val="left"/>
      </w:pPr>
      <w:r>
        <w:t>1. Alcance</w:t>
      </w:r>
    </w:p>
    <w:p>
      <w:r>
        <w:rPr>
          <w:b w:val="0"/>
          <w:sz w:val="22"/>
        </w:rPr>
        <w:t>Este procedimiento aplica a incidentes reportados por el cliente sobre servicios o soluciones entregadas por Nexus. Para incidentes de TI internos referirse al D10 (Procedimiento de Gestión de Incidentes de TI).</w:t>
      </w:r>
    </w:p>
    <w:p>
      <w:pPr>
        <w:pStyle w:val="Heading2"/>
        <w:jc w:val="left"/>
      </w:pPr>
      <w:r>
        <w:t>2. Clasificación de Severidad y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Severidad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Respuesta máxima</w:t>
            </w:r>
          </w:p>
        </w:tc>
        <w:tc>
          <w:tcPr>
            <w:tcW w:type="dxa" w:w="2160"/>
          </w:tcPr>
          <w:p>
            <w:r>
              <w:t>Resolución máxima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Servicio crítico caído sin workaround.</w:t>
            </w:r>
          </w:p>
        </w:tc>
        <w:tc>
          <w:tcPr>
            <w:tcW w:type="dxa" w:w="2160"/>
          </w:tcPr>
          <w:p>
            <w:r>
              <w:t>15 minutos</w:t>
            </w:r>
          </w:p>
        </w:tc>
        <w:tc>
          <w:tcPr>
            <w:tcW w:type="dxa" w:w="2160"/>
          </w:tcPr>
          <w:p>
            <w:r>
              <w:t>4 horas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Funcionalidad mayor afectada, workaround disponible.</w:t>
            </w:r>
          </w:p>
        </w:tc>
        <w:tc>
          <w:tcPr>
            <w:tcW w:type="dxa" w:w="2160"/>
          </w:tcPr>
          <w:p>
            <w:r>
              <w:t>30 minutos</w:t>
            </w:r>
          </w:p>
        </w:tc>
        <w:tc>
          <w:tcPr>
            <w:tcW w:type="dxa" w:w="2160"/>
          </w:tcPr>
          <w:p>
            <w:r>
              <w:t>8 horas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Funcionalidad menor afectada.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24 horas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Consulta o solicitud de mejora.</w:t>
            </w:r>
          </w:p>
        </w:tc>
        <w:tc>
          <w:tcPr>
            <w:tcW w:type="dxa" w:w="2160"/>
          </w:tcPr>
          <w:p>
            <w:r>
              <w:t>24 horas</w:t>
            </w:r>
          </w:p>
        </w:tc>
        <w:tc>
          <w:tcPr>
            <w:tcW w:type="dxa" w:w="2160"/>
          </w:tcPr>
          <w:p>
            <w:r>
              <w:t>5 días hábiles</w:t>
            </w:r>
          </w:p>
        </w:tc>
      </w:tr>
    </w:tbl>
    <w:p>
      <w:pPr>
        <w:pStyle w:val="Heading2"/>
        <w:jc w:val="left"/>
      </w:pPr>
      <w:r>
        <w:t>3. Penalidades Contractuales</w:t>
      </w:r>
    </w:p>
    <w:p>
      <w:r>
        <w:rPr>
          <w:b w:val="0"/>
          <w:sz w:val="22"/>
        </w:rPr>
        <w:t>Las penalidades por incumplimiento de SLA están definidas en cada contrato individual (ver D18 — Cartera de Clientes y Maestro de Contratos). Toda penalidad debe ser registrada en el módulo financiero por la Gerencia Comercial dentro de 5 días hábiles desde la confirmación del incumplimiento.</w:t>
      </w:r>
    </w:p>
    <w:p>
      <w:pPr>
        <w:pStyle w:val="Heading2"/>
        <w:jc w:val="left"/>
      </w:pPr>
      <w:r>
        <w:t>4. Niveles de Escalamiento (RACI)</w:t>
      </w:r>
    </w:p>
    <w:p>
      <w:r>
        <w:t>1. L1 Soporte</w:t>
      </w:r>
    </w:p>
    <w:p>
      <w:r>
        <w:t>2. L2 Ingeniería de Producto</w:t>
      </w:r>
    </w:p>
    <w:p>
      <w:r>
        <w:t>3. L3 Arquitectura</w:t>
      </w:r>
    </w:p>
    <w:p>
      <w:r>
        <w:t>4. Gerencia</w:t>
      </w:r>
    </w:p>
    <w:p>
      <w:pPr>
        <w:pStyle w:val="Heading2"/>
        <w:jc w:val="left"/>
      </w:pPr>
      <w:r>
        <w:t>5. Activación de War Room</w:t>
      </w:r>
    </w:p>
    <w:p>
      <w:r>
        <w:rPr>
          <w:b w:val="0"/>
          <w:sz w:val="22"/>
        </w:rPr>
        <w:t>Se activa un war room ante toda P1 que supere 1 hora sin avance, o ante una P2 que supere 4 horas sin avance. El war room está compuesto por: líder del proyecto, arquitecto asignado, representante de operaciones, sponsor Nexus de la cuenta y, cuando corresponda, sponsor del cliente.</w:t>
      </w:r>
    </w:p>
    <w:p>
      <w:pPr>
        <w:pStyle w:val="Heading2"/>
        <w:jc w:val="left"/>
      </w:pPr>
      <w:r>
        <w:t>6. Plantillas de Comunicación con el Cliente</w:t>
      </w:r>
    </w:p>
    <w:p>
      <w:r>
        <w:rPr>
          <w:b w:val="0"/>
          <w:sz w:val="22"/>
        </w:rPr>
        <w:t>Toda comunicación con el cliente sigue una de cuatro plantillas oficiales:</w:t>
      </w:r>
    </w:p>
    <w:p>
      <w:pPr>
        <w:pStyle w:val="ListBullet"/>
      </w:pPr>
      <w:r>
        <w:t>• Acuse de recibo del incidente (en el primer contacto).</w:t>
      </w:r>
    </w:p>
    <w:p>
      <w:pPr>
        <w:pStyle w:val="ListBullet"/>
      </w:pPr>
      <w:r>
        <w:t>• Actualización periódica de avance (con cadencia según severidad).</w:t>
      </w:r>
    </w:p>
    <w:p>
      <w:pPr>
        <w:pStyle w:val="ListBullet"/>
      </w:pPr>
      <w:r>
        <w:t>• Reason for Outage (RFO) preliminar y formal.</w:t>
      </w:r>
    </w:p>
    <w:p>
      <w:pPr>
        <w:pStyle w:val="ListBullet"/>
      </w:pPr>
      <w:r>
        <w:t>• Comunicación de cierre con resumen y acciones de seguimiento.</w:t>
      </w:r>
    </w:p>
    <w:p>
      <w:pPr>
        <w:pStyle w:val="Heading2"/>
        <w:jc w:val="left"/>
      </w:pPr>
      <w:r>
        <w:t>7. Post-Mortem Obligatorio</w:t>
      </w:r>
    </w:p>
    <w:p>
      <w:r>
        <w:rPr>
          <w:b w:val="0"/>
          <w:sz w:val="22"/>
        </w:rPr>
        <w:t>Todo incidente de severidad P1 o P2 requiere un post-mortem formal (ver D20), entregable en un máximo de 5 días hábiles desde la resolución del incidente.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CONFIDENCIAL — Uso Interno Restringido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Gestión de Incidentes con Cliente y SLA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