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Política de Uso de IA, LLMs y Datos Confidenciales</w:t>
      </w:r>
    </w:p>
    <w:p>
      <w:r>
        <w:t>Código: TI-POL-002 | Versión: 1.4 | Fecha: Abril 2026 | Propietario: CISO — Diana Reyes Castañeda + DPO — Mónica Salinas Bustamante | Clasificación: USO INTERNO</w:t>
      </w:r>
    </w:p>
    <w:p>
      <w:pPr>
        <w:pStyle w:val="Heading2"/>
        <w:jc w:val="left"/>
      </w:pPr>
      <w:r>
        <w:t>1. Niveles de Clasificación de Datos</w:t>
      </w:r>
    </w:p>
    <w:tbl>
      <w:tblPr>
        <w:tblStyle w:val="TableGrid"/>
        <w:tblW w:type="auto" w:w="0"/>
        <w:tblLook w:firstColumn="1" w:firstRow="1" w:lastColumn="0" w:lastRow="0" w:noHBand="0" w:noVBand="1" w:val="04A0"/>
      </w:tblPr>
      <w:tblGrid>
        <w:gridCol w:w="4320"/>
        <w:gridCol w:w="4320"/>
      </w:tblGrid>
      <w:tr>
        <w:tc>
          <w:tcPr>
            <w:tcW w:type="dxa" w:w="4320"/>
          </w:tcPr>
          <w:p>
            <w:r>
              <w:t>Nivel</w:t>
            </w:r>
          </w:p>
        </w:tc>
        <w:tc>
          <w:tcPr>
            <w:tcW w:type="dxa" w:w="4320"/>
          </w:tcPr>
          <w:p>
            <w:r>
              <w:t>Ejemplos típicos</w:t>
            </w:r>
          </w:p>
        </w:tc>
      </w:tr>
      <w:tr>
        <w:tc>
          <w:tcPr>
            <w:tcW w:type="dxa" w:w="4320"/>
          </w:tcPr>
          <w:p>
            <w:r>
              <w:t>Público</w:t>
            </w:r>
          </w:p>
        </w:tc>
        <w:tc>
          <w:tcPr>
            <w:tcW w:type="dxa" w:w="4320"/>
          </w:tcPr>
          <w:p>
            <w:r>
              <w:t>Material de marketing, web pública, casos publicados.</w:t>
            </w:r>
          </w:p>
        </w:tc>
      </w:tr>
      <w:tr>
        <w:tc>
          <w:tcPr>
            <w:tcW w:type="dxa" w:w="4320"/>
          </w:tcPr>
          <w:p>
            <w:r>
              <w:t>Interno</w:t>
            </w:r>
          </w:p>
        </w:tc>
        <w:tc>
          <w:tcPr>
            <w:tcW w:type="dxa" w:w="4320"/>
          </w:tcPr>
          <w:p>
            <w:r>
              <w:t>Comunicaciones internas, organigrama, políticas employee-facing.</w:t>
            </w:r>
          </w:p>
        </w:tc>
      </w:tr>
      <w:tr>
        <w:tc>
          <w:tcPr>
            <w:tcW w:type="dxa" w:w="4320"/>
          </w:tcPr>
          <w:p>
            <w:r>
              <w:t>Confidencial</w:t>
            </w:r>
          </w:p>
        </w:tc>
        <w:tc>
          <w:tcPr>
            <w:tcW w:type="dxa" w:w="4320"/>
          </w:tcPr>
          <w:p>
            <w:r>
              <w:t>Código de clientes, propuestas comerciales, pricing, ADRs.</w:t>
            </w:r>
          </w:p>
        </w:tc>
      </w:tr>
      <w:tr>
        <w:tc>
          <w:tcPr>
            <w:tcW w:type="dxa" w:w="4320"/>
          </w:tcPr>
          <w:p>
            <w:r>
              <w:t>Restringido</w:t>
            </w:r>
          </w:p>
        </w:tc>
        <w:tc>
          <w:tcPr>
            <w:tcW w:type="dxa" w:w="4320"/>
          </w:tcPr>
          <w:p>
            <w:r>
              <w:t>Datos personales sensibles, financieros del cliente, credenciales.</w:t>
            </w:r>
          </w:p>
        </w:tc>
      </w:tr>
    </w:tbl>
    <w:p>
      <w:pPr>
        <w:pStyle w:val="Heading2"/>
        <w:jc w:val="left"/>
      </w:pPr>
      <w:r>
        <w:t>2. Matriz de Uso Permitido de LLMs por Nivel de Dato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Nivel</w:t>
            </w:r>
          </w:p>
        </w:tc>
        <w:tc>
          <w:tcPr>
            <w:tcW w:type="dxa" w:w="1728"/>
          </w:tcPr>
          <w:p>
            <w:r>
              <w:t>ChatGPT público</w:t>
            </w:r>
          </w:p>
        </w:tc>
        <w:tc>
          <w:tcPr>
            <w:tcW w:type="dxa" w:w="1728"/>
          </w:tcPr>
          <w:p>
            <w:r>
              <w:t>Claude público</w:t>
            </w:r>
          </w:p>
        </w:tc>
        <w:tc>
          <w:tcPr>
            <w:tcW w:type="dxa" w:w="1728"/>
          </w:tcPr>
          <w:p>
            <w:r>
              <w:t>Copilot</w:t>
            </w:r>
          </w:p>
        </w:tc>
        <w:tc>
          <w:tcPr>
            <w:tcW w:type="dxa" w:w="1728"/>
          </w:tcPr>
          <w:p>
            <w:r>
              <w:t>IA corporativa local Nexus</w:t>
            </w:r>
          </w:p>
        </w:tc>
      </w:tr>
      <w:tr>
        <w:tc>
          <w:tcPr>
            <w:tcW w:type="dxa" w:w="1728"/>
          </w:tcPr>
          <w:p>
            <w:r>
              <w:t>Público</w:t>
            </w:r>
          </w:p>
        </w:tc>
        <w:tc>
          <w:tcPr>
            <w:tcW w:type="dxa" w:w="1728"/>
          </w:tcPr>
          <w:p>
            <w:r>
              <w:t>Sí</w:t>
            </w:r>
          </w:p>
        </w:tc>
        <w:tc>
          <w:tcPr>
            <w:tcW w:type="dxa" w:w="1728"/>
          </w:tcPr>
          <w:p>
            <w:r>
              <w:t>Sí</w:t>
            </w:r>
          </w:p>
        </w:tc>
        <w:tc>
          <w:tcPr>
            <w:tcW w:type="dxa" w:w="1728"/>
          </w:tcPr>
          <w:p>
            <w:r>
              <w:t>Sí</w:t>
            </w:r>
          </w:p>
        </w:tc>
        <w:tc>
          <w:tcPr>
            <w:tcW w:type="dxa" w:w="1728"/>
          </w:tcPr>
          <w:p>
            <w:r>
              <w:t>Sí</w:t>
            </w:r>
          </w:p>
        </w:tc>
      </w:tr>
      <w:tr>
        <w:tc>
          <w:tcPr>
            <w:tcW w:type="dxa" w:w="1728"/>
          </w:tcPr>
          <w:p>
            <w:r>
              <w:t>Interno</w:t>
            </w:r>
          </w:p>
        </w:tc>
        <w:tc>
          <w:tcPr>
            <w:tcW w:type="dxa" w:w="1728"/>
          </w:tcPr>
          <w:p>
            <w:r>
              <w:t>No</w:t>
            </w:r>
          </w:p>
        </w:tc>
        <w:tc>
          <w:tcPr>
            <w:tcW w:type="dxa" w:w="1728"/>
          </w:tcPr>
          <w:p>
            <w:r>
              <w:t>No</w:t>
            </w:r>
          </w:p>
        </w:tc>
        <w:tc>
          <w:tcPr>
            <w:tcW w:type="dxa" w:w="1728"/>
          </w:tcPr>
          <w:p>
            <w:r>
              <w:t>Solo con cuenta enterprise y opt-out de entrenamiento</w:t>
            </w:r>
          </w:p>
        </w:tc>
        <w:tc>
          <w:tcPr>
            <w:tcW w:type="dxa" w:w="1728"/>
          </w:tcPr>
          <w:p>
            <w:r>
              <w:t>Sí</w:t>
            </w:r>
          </w:p>
        </w:tc>
      </w:tr>
      <w:tr>
        <w:tc>
          <w:tcPr>
            <w:tcW w:type="dxa" w:w="1728"/>
          </w:tcPr>
          <w:p>
            <w:r>
              <w:t>Confidencial</w:t>
            </w:r>
          </w:p>
        </w:tc>
        <w:tc>
          <w:tcPr>
            <w:tcW w:type="dxa" w:w="1728"/>
          </w:tcPr>
          <w:p>
            <w:r>
              <w:t>No</w:t>
            </w:r>
          </w:p>
        </w:tc>
        <w:tc>
          <w:tcPr>
            <w:tcW w:type="dxa" w:w="1728"/>
          </w:tcPr>
          <w:p>
            <w:r>
              <w:t>No</w:t>
            </w:r>
          </w:p>
        </w:tc>
        <w:tc>
          <w:tcPr>
            <w:tcW w:type="dxa" w:w="1728"/>
          </w:tcPr>
          <w:p>
            <w:r>
              <w:t>No</w:t>
            </w:r>
          </w:p>
        </w:tc>
        <w:tc>
          <w:tcPr>
            <w:tcW w:type="dxa" w:w="1728"/>
          </w:tcPr>
          <w:p>
            <w:r>
              <w:t>Sí</w:t>
            </w:r>
          </w:p>
        </w:tc>
      </w:tr>
      <w:tr>
        <w:tc>
          <w:tcPr>
            <w:tcW w:type="dxa" w:w="1728"/>
          </w:tcPr>
          <w:p>
            <w:r>
              <w:t>Restringido</w:t>
            </w:r>
          </w:p>
        </w:tc>
        <w:tc>
          <w:tcPr>
            <w:tcW w:type="dxa" w:w="1728"/>
          </w:tcPr>
          <w:p>
            <w:r>
              <w:t>No</w:t>
            </w:r>
          </w:p>
        </w:tc>
        <w:tc>
          <w:tcPr>
            <w:tcW w:type="dxa" w:w="1728"/>
          </w:tcPr>
          <w:p>
            <w:r>
              <w:t>No</w:t>
            </w:r>
          </w:p>
        </w:tc>
        <w:tc>
          <w:tcPr>
            <w:tcW w:type="dxa" w:w="1728"/>
          </w:tcPr>
          <w:p>
            <w:r>
              <w:t>No</w:t>
            </w:r>
          </w:p>
        </w:tc>
        <w:tc>
          <w:tcPr>
            <w:tcW w:type="dxa" w:w="1728"/>
          </w:tcPr>
          <w:p>
            <w:r>
              <w:t>Solo con aprobación caso a caso del CISO</w:t>
            </w:r>
          </w:p>
        </w:tc>
      </w:tr>
    </w:tbl>
    <w:p>
      <w:pPr>
        <w:pStyle w:val="Heading2"/>
        <w:jc w:val="left"/>
      </w:pPr>
      <w:r>
        <w:t>3. Casos de Uso Aprobados de IA Generativa</w:t>
      </w:r>
    </w:p>
    <w:p>
      <w:pPr>
        <w:pStyle w:val="ListBullet"/>
      </w:pPr>
      <w:r>
        <w:t>• Generación de boilerplate y código no productivo.</w:t>
      </w:r>
    </w:p>
    <w:p>
      <w:pPr>
        <w:pStyle w:val="ListBullet"/>
      </w:pPr>
      <w:r>
        <w:t>• Redacción de comunicaciones internas.</w:t>
      </w:r>
    </w:p>
    <w:p>
      <w:pPr>
        <w:pStyle w:val="ListBullet"/>
      </w:pPr>
      <w:r>
        <w:t>• Traducción de documentación pública.</w:t>
      </w:r>
    </w:p>
    <w:p>
      <w:pPr>
        <w:pStyle w:val="ListBullet"/>
      </w:pPr>
      <w:r>
        <w:t>• Búsqueda semántica sobre repositorios internos vía el chatbot Nexus local.</w:t>
      </w:r>
    </w:p>
    <w:p>
      <w:pPr>
        <w:pStyle w:val="Heading2"/>
        <w:jc w:val="left"/>
      </w:pPr>
      <w:r>
        <w:t>4. Casos de Uso Prohibidos</w:t>
      </w:r>
    </w:p>
    <w:p>
      <w:pPr>
        <w:pStyle w:val="ListBullet"/>
      </w:pPr>
      <w:r>
        <w:t>• Subir código de clientes a LLMs públicos.</w:t>
      </w:r>
    </w:p>
    <w:p>
      <w:pPr>
        <w:pStyle w:val="ListBullet"/>
      </w:pPr>
      <w:r>
        <w:t>• Ingresar datos personales identificables (DNI, salud, financieros) en herramientas no aprobadas.</w:t>
      </w:r>
    </w:p>
    <w:p>
      <w:pPr>
        <w:pStyle w:val="ListBullet"/>
      </w:pPr>
      <w:r>
        <w:t>• Compartir contratos, propuestas comerciales o pricing en LLMs externos.</w:t>
      </w:r>
    </w:p>
    <w:p>
      <w:pPr>
        <w:pStyle w:val="ListBullet"/>
      </w:pPr>
      <w:r>
        <w:t>• Usar herramientas con IA embebida no inventariadas por el CISO.</w:t>
      </w:r>
    </w:p>
    <w:p>
      <w:pPr>
        <w:pStyle w:val="Heading2"/>
        <w:jc w:val="left"/>
      </w:pPr>
      <w:r>
        <w:t>5. Proceso de Aprobación de Nuevas Herramientas con IA</w:t>
      </w:r>
    </w:p>
    <w:p>
      <w:r>
        <w:rPr>
          <w:b w:val="0"/>
          <w:sz w:val="22"/>
        </w:rPr>
        <w:t>Toda herramienta con IA embebida (por ejemplo Notion AI, Granola, Cursor, etc.) requiere aprobación previa del CISO mediante ticket TI-IA. La respuesta se entrega en máximo 5 días hábiles e incluye revisión del DPA, política de retención y opciones de opt-out de entrenamiento del proveedor.</w:t>
      </w:r>
    </w:p>
    <w:p>
      <w:pPr>
        <w:pStyle w:val="Heading2"/>
        <w:jc w:val="left"/>
      </w:pPr>
      <w:r>
        <w:t>6. Auditoría y Registro</w:t>
      </w:r>
    </w:p>
    <w:p>
      <w:r>
        <w:rPr>
          <w:b w:val="0"/>
          <w:sz w:val="22"/>
        </w:rPr>
        <w:t>El CISO audita trimestralmente el uso de IA en la organización. Anualmente se entrega un reporte al Directorio. El uso de la IA corporativa local de Nexus es loggeado de forma centralizada con propósito de auditoría y mejora continua.</w:t>
      </w:r>
    </w:p>
    <w:p>
      <w:pPr>
        <w:pStyle w:val="Heading2"/>
        <w:jc w:val="left"/>
      </w:pPr>
      <w:r>
        <w:t>7. Sanciones por Incumplimiento</w:t>
      </w:r>
    </w:p>
    <w:p>
      <w:r>
        <w:rPr>
          <w:b w:val="0"/>
          <w:sz w:val="22"/>
        </w:rPr>
        <w:t>El incumplimiento de esta política se trata como uso indebido de información conforme al D06 (Código de Conducta y Ética Empresarial), con sanciones que pueden ir desde amonestación escrita hasta desvinculación, según severidad y reincidencia.</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USO INTERNO — Lectura obligatoria — Prohibida su reproducción o divulgación externa sin autorización.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Nexus Soluciones S.A.C. — Política de Uso de IA y LLMs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