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LOCAL RAG v2</w:t>
      </w:r>
    </w:p>
    <w:p>
      <w:pPr>
        <w:spacing w:after="140" w:before="14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Installer Autónomo · Modelo GGUF Bundleado · Fine-Tuning por Nicho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Plan Arquitectónico  —  Junio 2026</w:t>
      </w:r>
    </w:p>
    <w:p>
      <w:pPr>
        <w:pBdr>
          <w:bottom w:val="single" w:color="2E75B6" w:sz="8"/>
        </w:pBdr>
        <w:spacing w:before="500"/>
      </w:pP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Cambio de Concepto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cambio fundamental es eliminar Ollama como proceso externo. El installer entregará tres piezas en un solo ejecutable:</w:t>
      </w:r>
    </w:p>
    <w:p>
      <w:pPr>
        <w:spacing w:before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🔧 Motor de inferencia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llama-cpp-python bundleado. Sin instalaciones separadas ni daemons.</w:t>
            </w:r>
          </w:p>
        </w:tc>
        <w:tc>
          <w:tcPr>
            <w:tcW w:type="dxa" w:w="312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🧠 Modelo cuantizado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GGUF incluido (~4–5 GB). Offline desde el primer inicio.</w:t>
            </w:r>
          </w:p>
        </w:tc>
        <w:tc>
          <w:tcPr>
            <w:tcW w:type="dxa" w:w="312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💻 App completa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+ ChromaDB + UI. Un solo .exe o carpeta dist.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Por qué llama-cpp-python en lugar de Ollama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Ollama es excelente para desarrollo, pero requiere instalación separada y levantar un daemon. Con llama-cpp-python: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inferencia ocurre dentro del mismo proceso Python — sin subprocesos externos.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installer es completamente autónomo. El cliente descarga, instala, y ya funciona.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modelo GGUF viaja junto con la app en el mismo ZIP o NSIS installer.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Expone una API compatible con OpenAI, por lo que los cambios al código existente son mínimos.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Soporte automático de GPU (CUDA / Metal / Vulkan) con n_gpu_layers=-1 sin cambio de código.</w:t>
      </w:r>
    </w:p>
    <w:p>
      <w:pPr>
        <w:spacing w:before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Cambio de mentalidad: Ollama es ideal para desarrollo local del programador. llama-cpp-python embebido es la arquitectura correcta para distribuir a clientes no-técnicos.</w:t>
            </w:r>
          </w:p>
        </w:tc>
      </w:tr>
    </w:tbl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Cambios al código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únicos archivos que cambian son embedder.py y retriever.py. El resto de la app (parsers, vectorstore, UI, rutas FastAPI) se mantiene igual.</w:t>
      </w:r>
    </w:p>
    <w:p>
      <w:pPr>
        <w:spacing w:before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Antes — Ollama HTTP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Después — llama-cpp-python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C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C8C8"/>
                <w:sz w:val="18"/>
                <w:szCs w:val="18"/>
              </w:rPr>
              <w:t xml:space="preserve">httpx.post(</w:t>
            </w:r>
          </w:p>
          <w:p>
            <w:r>
              <w:rPr>
                <w:rFonts w:ascii="Courier New" w:cs="Courier New" w:eastAsia="Courier New" w:hAnsi="Courier New"/>
                <w:color w:val="C8C8C8"/>
                <w:sz w:val="18"/>
                <w:szCs w:val="18"/>
              </w:rPr>
              <w:t xml:space="preserve">  ollama_url +</w:t>
            </w:r>
          </w:p>
          <w:p>
            <w:r>
              <w:rPr>
                <w:rFonts w:ascii="Courier New" w:cs="Courier New" w:eastAsia="Courier New" w:hAnsi="Courier New"/>
                <w:color w:val="C8C8C8"/>
                <w:sz w:val="18"/>
                <w:szCs w:val="18"/>
              </w:rPr>
              <w:t xml:space="preserve">  "/api/embeddings",</w:t>
            </w:r>
          </w:p>
          <w:p>
            <w:r>
              <w:rPr>
                <w:rFonts w:ascii="Courier New" w:cs="Courier New" w:eastAsia="Courier New" w:hAnsi="Courier New"/>
                <w:color w:val="C8C8C8"/>
                <w:sz w:val="18"/>
                <w:szCs w:val="18"/>
              </w:rPr>
              <w:t xml:space="preserve">  json={"model": ...,</w:t>
            </w:r>
          </w:p>
          <w:p>
            <w:r>
              <w:rPr>
                <w:rFonts w:ascii="Courier New" w:cs="Courier New" w:eastAsia="Courier New" w:hAnsi="Courier New"/>
                <w:color w:val="C8C8C8"/>
                <w:sz w:val="18"/>
                <w:szCs w:val="18"/>
              </w:rPr>
              <w:t xml:space="preserve">        "prompt": texto}</w:t>
            </w:r>
          </w:p>
          <w:p>
            <w:r>
              <w:rPr>
                <w:rFonts w:ascii="Courier New" w:cs="Courier New" w:eastAsia="Courier New" w:hAnsi="Courier New"/>
                <w:color w:val="C8C8C8"/>
                <w:sz w:val="18"/>
                <w:szCs w:val="18"/>
              </w:rPr>
              <w:t xml:space="preserve">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C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C8C8"/>
                <w:sz w:val="18"/>
                <w:szCs w:val="18"/>
              </w:rPr>
              <w:t xml:space="preserve">from llama_cpp import Llama</w:t>
            </w:r>
          </w:p>
          <w:p>
            <w:r>
              <w:rPr>
                <w:rFonts w:ascii="Courier New" w:cs="Courier New" w:eastAsia="Courier New" w:hAnsi="Courier New"/>
                <w:color w:val="C8C8C8"/>
                <w:sz w:val="18"/>
                <w:szCs w:val="18"/>
              </w:rPr>
              <w:t xml:space="preserve">embed_model = Llama(</w:t>
            </w:r>
          </w:p>
          <w:p>
            <w:r>
              <w:rPr>
                <w:rFonts w:ascii="Courier New" w:cs="Courier New" w:eastAsia="Courier New" w:hAnsi="Courier New"/>
                <w:color w:val="C8C8C8"/>
                <w:sz w:val="18"/>
                <w:szCs w:val="18"/>
              </w:rPr>
              <w:t xml:space="preserve">  model_path="embed.gguf",</w:t>
            </w:r>
          </w:p>
          <w:p>
            <w:r>
              <w:rPr>
                <w:rFonts w:ascii="Courier New" w:cs="Courier New" w:eastAsia="Courier New" w:hAnsi="Courier New"/>
                <w:color w:val="C8C8C8"/>
                <w:sz w:val="18"/>
                <w:szCs w:val="18"/>
              </w:rPr>
              <w:t xml:space="preserve">  embedding=True)</w:t>
            </w:r>
          </w:p>
          <w:p>
            <w:r>
              <w:rPr>
                <w:rFonts w:ascii="Courier New" w:cs="Courier New" w:eastAsia="Courier New" w:hAnsi="Courier New"/>
                <w:color w:val="C8C8C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embed_model.embed(texto)</w:t>
            </w:r>
          </w:p>
        </w:tc>
      </w:tr>
    </w:tbl>
    <w:p>
      <w:pPr>
        <w:spacing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Modelo Cuantizado Recomendado</w:t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Niveles de cuantización GGUF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GGUF es el formato de distribución de llama.cpp: un solo archivo con pesos y metadatos. Los niveles más relevantes para un installer:</w:t>
      </w:r>
    </w:p>
    <w:p>
      <w:pPr>
        <w:spacing w:before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800"/>
        <w:gridCol w:w="2360"/>
        <w:gridCol w:w="34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 (8B)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Calidad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usarlo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Q4_K_M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~4.5 GB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⭐⭐⭐⭐  Muy buena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Recomendado. Mejor balance calidad/tamaño para distribución.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Q5_K_M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~5.3 GB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⭐⭐⭐⭐⭐  Excelente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el cliente promedio tiene ≥16 GB de RAM.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Q6_K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~6.1 GB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Casi lossless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 potente. Cerca de calidad FP16.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Q8_0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~8.6 GB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Referencia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benchmarks. Demasiado grande para distribución.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Modelo recomendado: Qwen3.5-8B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modelo base recomendado es Qwen3.5-8B Q4_K_M por cuatro razones clave: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Soporte nativo de 201 idiomas — el mejor español entre modelos ≤8B del mercado en 2026.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Ventana de contexto de 256K tokens — ideal para RAG con documentos largos.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Fine-tuneable con Unsloth y exportable a GGUF directamente — flujo cerrado de entrenamiento → distribución.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Supera a Llama 3.1 8B y Phi-4 en benchmarks multilingües de razonamiento y comprensión.</w:t>
      </w:r>
    </w:p>
    <w:p>
      <w:pPr>
        <w:spacing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Alternativa más pequeña: Qwen3-4B Q4_K_M (~2.3 GB). Reduce el installer a la mitad. Útil si el perfil del cliente es hardware de gama baja (8 GB RAM, sin GPU).</w:t>
            </w:r>
          </w:p>
        </w:tc>
      </w:tr>
    </w:tbl>
    <w:p>
      <w:pPr>
        <w:spacing w:before="16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Dos modelos GGUF separados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Una decisión de arquitectura importante: usar GGUFs distintos para chat y para embeddings. Combinar ambas tareas en un solo modelo sacrifica calidad.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qwen3.5-8b-instruct-q4_k_m.gguf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~4.5 GB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Generación de respuestas (chat, RAG, streaming)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nomic-embed-text-v1.5.Q8_0.gguf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~270 MB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Embeddings semánticos para ChromaDB</w:t>
            </w:r>
          </w:p>
        </w:tc>
      </w:tr>
    </w:tbl>
    <w:p>
      <w:pPr>
        <w:spacing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Estrategia de Empaquetado</w:t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Estructura del dist/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localrag.exe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~80 MB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Binario + Python + dependencias (PyInstaller)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models/qwen3.5-8b-q4_k_m.gguf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~4.5 GB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de chat cuantizado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models/nomic-embed-text.Q8_0.gguf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~270 MB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de embeddings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ui/static/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 MB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HTML/JS/CSS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data/chroma_db/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Generado en primer uso (no se distribuye)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 GB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Distribuible por web, USB o CDN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Opción A (todo incluido) vs. Opción B (descarga guiada)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Opción A — Todo incluido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Opción B — App ligera + descarga ✅ Recomendada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Funciona sin internet desde el día 1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Venta física en USB posible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Cero fricción de setup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Installer de ~5 GB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Difícil actualizar el modelo post-venta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App &lt; 100 MB, descarga rápida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Modelo actualizable sin reinstalar la app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Permite seleccionar modelo por nicho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Pantalla de descarga guiada y progresiva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Requiere ~5 GB de descarga en primer uso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 Opción B, cada nicho tiene su propio GGUF fine-tuneado. El usuario descarga una vez el modelo de su sector y lo usa offline para siempre. Esto también permite vender 'módulos de nicho' como SKUs separados.</w:t>
      </w:r>
    </w:p>
    <w:p>
      <w:pPr>
        <w:spacing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Nichos para Fine-Tuning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modelo fine-tuneado para un nicho específico supera en esa tarea a modelos 10x más grandes, con 10–20x menos costo de inferencia. Estos son los cinco nichos con mayor ROI en LATAM/España:</w:t>
      </w:r>
    </w:p>
    <w:p>
      <w:pPr>
        <w:spacing w:before="20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🏦 Contabilidad y Fiscal  —  Nicho Prioritario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firmas contables tienen decenas de documentos que sus empleados consultan diario: códigos tributarios, circulares del SAT/SUNAT/SII, formularios, y resoluciones. Hoy todo eso vive en archivadores o PDFs sin buscar.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Problema concreto que resuelve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¿Qué código de actividad económica le corresponde a una empresa de software SaaS?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¿Cuál es el plazo para presentar el ISR mensual en Guatemala?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¿El artículo 23 del Código Tributario aplica a esta situación de mi cliente?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Datos de entrenamiento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de datos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extraer y cómo usarlo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Tributario nacional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Artículos clave → pares Q&amp;A sintéticos con GPT-4 (¿Cuándo aplica X? ¿Qué sanción tiene Y?)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Circulares SAT/SUNAT/SII/AFIP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Instrucciones procedimentales → formato de respuesta paso a paso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Casos de clientes anonimizados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Escenarios reales → ejemplos few-shot de razonamiento contable correcto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Formularios + instructivos oficiales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Preguntas de llenado → respuestas estructuradas con referencia a campo específico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Resoluciones del tribunal fiscal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Casos complejos → razonamiento jurídico-contable argumentado</w:t>
            </w:r>
          </w:p>
        </w:tc>
      </w:tr>
    </w:tbl>
    <w:p>
      <w:pPr>
        <w:spacing w:before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Dataset mínimo viable: 800 pares Q&amp;A curados. Costo estimado de generación GPT-4: ~$40 USD. Fine-tune Colab Pro+: ~$10 USD. ROI potencial: licencias por $30–80 USD/mes por firma contable.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⚖️ Legal y Contratos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Despachos de abogados y áreas legales corporativas pasan horas revisando si un contrato tiene cierta cláusula, buscando el artículo aplicable, o verificando consistencia entre documentos. Este trabajo es perfectamente paralelizable con RAG.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Problema concreto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¿Este contrato de arrendamiento incluye cláusula de indexación por inflación?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¿Qué artículo del Código de Comercio regula la resolución de contratos por incumplimiento?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¿Qué jurisprudencia existe sobre el plazo de prescripción en contratos de obra?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Datos de entrenamiento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de datos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extraer y cómo usarlo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Civil + Código Comercio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Artículos → Q&amp;A de interpretación en lenguaje natural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Contratos tipo públicos (arrendamiento, servicios, obra)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Cláusulas → clasificación por tipo + redacción estándar sugerida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Jurisprudencia (sentencias públicas)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Razonamiento judicial → ejemplos de análisis legal estructurado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Dataset EURLEX-ES / MIPEX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Normativa europea en español → contexto legal amplio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Contratos del propio despacho (anonimizados)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dataset más valioso — vocabulario y formato propios del cliente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🏥 Salud y Clínicas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Clínicas privadas y laboratorios tienen protocolos, guías clínicas y formularios que el personal necesita consultar en tiempo real. Hoy viven en archivadores físicos o Word sin indexar.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Problema concreto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¿Cuál es el protocolo de antisepsia para una curación de herida de tercer grado?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¿Qué contraindicaciones tiene el Metformín en pacientes con insuficiencia renal?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¿Qué formulario se usa para solicitar estudios de imagen en el seguro X?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Datos de entrenamiento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de datos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extraer y cómo usarlo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Guías de Práctica Clínica (GPC) del Ministerio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Protocolos → instrucciones paso a paso con criterios de inclusión/exclusión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Vademécum farmacológico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Fármacos → uso, dosis, contraindicaciones, interacciones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Protocolos internos de la clínica (anonimizados)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Flujos internos → respuestas con tono y formato de la institución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Formularios del seguro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Preguntas de llenado → instrucciones de diligenciamiento por campo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IMPORTANTE: el fine-tune debe incluir ejemplos donde el modelo responde 'Esta pregunta requiere criterio médico. Consulta al profesional de salud.' Comportamiento conservador deliberado para preguntas fuera del alcance del protocolo.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🏢 Recursos Humanos y Compliance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Empresas con 50–500 empleados tienen manuales de RRHH, reglamentos internos y normativas laborales que nadie lee hasta que hay un problema. Preguntas simples saturan al departamento de RRHH todos los días.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Problema concreto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¿Cuántos días de vacaciones me corresponden en mi quinto año de trabajo?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¿Cuál es el procedimiento de baja por enfermedad según nuestro reglamento?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¿La empresa está obligada a tener un comité de seguridad e higiene con este número de empleados?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Datos de entrenamiento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de datos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extraer y cómo usarlo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Ley Federal del Trabajo / Estatuto de los Trabajadores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Artículos clave → Q&amp;A en lenguaje cotidiano (no legal)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Convenios colectivos sectoriales (públicos)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Cláusulas → interpretación aplicada al caso concreto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de RRHH de la empresa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Políticas internas → respuestas que reflejan el tono corporativo del cliente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Tickets históricos del departamento de RRHH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dataset de oro — preguntas reales + respuestas expertas ya validadas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🏗️ Construcción e Ingeniería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Empresas constructoras, ingenieros y arquitectos trabajan con normas técnicas, pliegos de condiciones y especificaciones de materiales que son densos, muy específicos, y cambian por región.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Problema concreto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¿Qué resistencia mínima de concreto exige la NOM-006 para columnas de edificios de más de 4 pisos?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¿Qué dice el pliego de condiciones del contrato sobre penalidades por atraso en obra?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¿Cuál es el precio unitario de referencia para excavación en roca en la zona metropolitana?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Datos de entrenamiento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de datos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extraer y cómo usarlo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Normas técnicas nacionales (NOM, NEC, NSR)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Artículos + tablas → Q&amp;A técnico con números y unidades exactos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Pliegos de condiciones tipo de obra pública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Cláusulas → interpretación contractual y consecuencias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Especificaciones técnicas de fabricantes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Instalación, compatibilidad, límites → instrucciones de aplicación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Precios unitarios de referencia por región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Partidas → estimaciones con desglose de materiales y mano de obra</w:t>
            </w:r>
          </w:p>
        </w:tc>
      </w:tr>
    </w:tbl>
    <w:p>
      <w:pPr>
        <w:spacing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Hoja de Ruta Técnica de Fine-Tuning</w:t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Stack: QLoRA + Unsloth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modelos ≤8B en 2026, el estándar es QLoRA con Unsloth. Es 2x más rápido que HuggingFace nativo y usa 60% menos VRAM. Para Qwen3.5-8B, una RTX 4090 o Google Colab Pro+ es suficiente.</w:t>
      </w:r>
    </w:p>
    <w:p>
      <w:pPr>
        <w:spacing w:before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Recolectar datos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 del nicho (PDFs, DOCX, Excel). Mínimo recomendado: 500–1,000 pares Q&amp;A de alta calidad. Calidad &gt; cantidad.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Dataset sintético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Usar GPT-4 para generar pares {instrucción, respuesta} desde los documentos. Herramienta: LlamaFactory o script propio. Costo: ~$40–80 USD por 1,000 pares.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Curar y filtrar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Revisar 10–20% del dataset manualmente. Eliminar respuestas vagas, incorrectas o fuera de dominio. Este paso es el que más impacta en la calidad final.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Fine-tune con Unsloth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Colab Pro+ (~$10/mes). 1,000 pasos ≈ 2–4 horas para 8B. Salida: adaptadores LoRA (.safetensors). Código disponible en unsloth.ai/docs.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Merge y export GGUF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merge_lora.py + llama.cpp convert_hf_to_gguf.py → cuantizar con quantize.exe -q q4_k_m. Este GGUF es el que se bundlea en el installer del nicho.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Evaluar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preguntas del nicho. Comparar respuestas vs. modelo base. Métricas: precisión factual, tono, formato de respuesta, manejo de preguntas fuera de dominio.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Iterar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Segunda ronda con los casos donde falló. 2–3 rondas suelen alcanzar el nivel de calidad de producción.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Formato del dataset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formato más efectivo para Qwen3.5 es ChatML. Cada ejemplo tiene tres roles:</w:t>
      </w:r>
    </w:p>
    <w:p>
      <w:pPr>
        <w:spacing w:before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C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{"messages": [</w:t>
            </w:r>
          </w:p>
          <w:p>
            <w:r>
              <w:rPr>
                <w:rFonts w:ascii="Courier New" w:cs="Courier New" w:eastAsia="Courier New" w:hAnsi="Courier New"/>
                <w:color w:val="C8C8C8"/>
                <w:sz w:val="18"/>
                <w:szCs w:val="18"/>
              </w:rPr>
              <w:t xml:space="preserve">  {"role": "system",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"content": "Eres un asistente contable experto en legislación fiscal de México. Respondes con precisión, citas artículos cuando aplica, y dices claramente cuando la pregunta requiere criterio profesional."},</w:t>
            </w:r>
          </w:p>
          <w:p>
            <w:r>
              <w:rPr>
                <w:rFonts w:ascii="Courier New" w:cs="Courier New" w:eastAsia="Courier New" w:hAnsi="Courier New"/>
                <w:color w:val="C8C8C8"/>
                <w:sz w:val="18"/>
                <w:szCs w:val="18"/>
              </w:rPr>
              <w:t xml:space="preserve">  {"role": "user",</w:t>
            </w:r>
          </w:p>
          <w:p>
            <w:r>
              <w:rPr>
                <w:rFonts w:ascii="Courier New" w:cs="Courier New" w:eastAsia="Courier New" w:hAnsi="Courier New"/>
                <w:color w:val="87CEEB"/>
                <w:sz w:val="18"/>
                <w:szCs w:val="18"/>
              </w:rPr>
              <w:t xml:space="preserve">   "content": "¿Cuál es la tasa de ISR para una persona física con actividad empresarial con ingresos de $500,000 MXN anuales?"},</w:t>
            </w:r>
          </w:p>
          <w:p>
            <w:r>
              <w:rPr>
                <w:rFonts w:ascii="Courier New" w:cs="Courier New" w:eastAsia="Courier New" w:hAnsi="Courier New"/>
                <w:color w:val="C8C8C8"/>
                <w:sz w:val="18"/>
                <w:szCs w:val="18"/>
              </w:rPr>
              <w:t xml:space="preserve">  {"role": "assistant",</w:t>
            </w:r>
          </w:p>
          <w:p>
            <w:r>
              <w:rPr>
                <w:rFonts w:ascii="Courier New" w:cs="Courier New" w:eastAsia="Courier New" w:hAnsi="Courier New"/>
                <w:color w:val="FFA07A"/>
                <w:sz w:val="18"/>
                <w:szCs w:val="18"/>
              </w:rPr>
              <w:t xml:space="preserve">   "content": "Según el Artículo 152 de la LISR, una persona física con actividad empresarial que perciba $500,000 MXN aplica la tasa del 30%. El cálculo base es: [detalle paso a paso]..."}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]}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Costo estimado por nicho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2000"/>
        <w:gridCol w:w="1960"/>
        <w:gridCol w:w="1400"/>
        <w:gridCol w:w="12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Pares Q&amp;A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GPT-4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Colab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Contabilidad / Fiscal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800–1,200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~$50–80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~$70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 / Contratos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600–1,000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~$40–70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~$60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Salud / Clínicas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500–800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~$35–60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~$55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RRHH / Compliance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400–700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~$30–50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~$50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Construcción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500–900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~$40–70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~$60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El dataset sintético es el costo principal. Genera los pares de forma inteligente: primero extrae fragmentos clave de los documentos, luego pide a GPT-4 3 preguntas + respuestas por fragmento. 300 fragmentos × 3 = 900 pares por ~$60 USD.</w:t>
            </w:r>
          </w:p>
        </w:tc>
      </w:tr>
    </w:tbl>
    <w:p>
      <w:pPr>
        <w:spacing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Roadmap de Implementación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 sem.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Reemplazar Ollama por llama-cpp-python. Actualizar embedder.py, retriever.py, config/__init__.py. Eliminar startup wizard de Ollama.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sem.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Bajar Qwen3.5-8B Q4_K_M + nomic-embed-text GGUF. Validar calidad de respuestas, velocidad y uso de RAM en hardware de referencia (8 GB / 16 GB, sin GPU).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sem.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Actualizar PyInstaller .spec para incluir llama-cpp-python + GGUFs. Probar build completo en Windows. Implementar pantalla de descarga del modelo (Opción B).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2–4 sem.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Fine-tuning primer nicho (Contabilidad). Recolectar docs → generar dataset → QLoRA con Unsloth → exportar GGUF cuantizado.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sem.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Evaluar modelo fine-tuneado vs. base. Ajustar system prompt. Beta con 2–3 firmas contables reales. Recoger feedback.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Replicar el pipeline para 2–4 nichos adicionales. Cada nicho = GGUF propio descargable desde la app → modelo de distribución por módulos.</w:t>
            </w:r>
          </w:p>
        </w:tc>
      </w:tr>
    </w:tbl>
    <w:p>
      <w:pPr>
        <w:spacing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Resumen Ejecutivo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Motor de inferencia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llama-cpp-python (reemplaza Ollama — sin daemon externo)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Modelo de chat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Qwen3.5-8B Q4_K_M — mejor español/multilingüe ≤8B en 2026 (~4.5 GB)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Modelo de embeddings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nomic-embed-text-v1.5 Q8_0 — 270 MB, alta precisión semántica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Tamaño del installer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~80 MB app + descarga guiada de ~5 GB del modelo (Opción B recomendada)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Técnica de fine-tuning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QLoRA con Unsloth → merge → exportar a GGUF Q4_K_M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Nicho prioritario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Contabilidad/Fiscal — mayor volumen de clientes y densidad documental en LATAM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Nichos secundarios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Legal, Salud, RRHH/Compliance, Construcción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Costo por nicho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~$50–80 USD (datos sintéticos) + ~$10 USD (cómputo) = ~$60–90 USD total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Tiempo por nicho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1–2 semanas desde recolección hasta GGUF listo para distribución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Propuesta de valor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App local sin suscripciones ni internet, fine-tuneada para el sector, instalable en 5 minutos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Confidencial  •  Junio 2026</w:t>
    </w:r>
    <w:r>
      <w:rPr>
        <w:rFonts w:ascii="Arial" w:cs="Arial" w:eastAsia="Arial" w:hAnsi="Arial"/>
        <w:color w:val="595959"/>
        <w:sz w:val="18"/>
        <w:szCs w:val="18"/>
      </w:rPr>
      <w:t xml:space="preserve">	</w:t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LOCAL RAG v2  —  Plan Arquitectónico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2026-06-09T17:17:37.249Z</dcterms:created>
  <dcterms:modified xsi:type="dcterms:W3CDTF">2026-06-09T17:17:37.250Z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