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Vendas</w:t>
      </w:r>
    </w:p>
    <w:p>
      <w:pPr>
        <w:pStyle w:val="Heading1"/>
      </w:pPr>
      <w:r>
        <w:t>Resumo executivo</w:t>
      </w:r>
    </w:p>
    <w:p>
      <w:r>
        <w:t>As vendas cresceram 23% no trimestre, puxadas pela região Sudeste.</w:t>
      </w:r>
    </w:p>
    <w:p>
      <w:r>
        <w:t>Observação: os valores incluem impostos e frete.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Região</w:t>
            </w:r>
          </w:p>
        </w:tc>
        <w:tc>
          <w:tcPr>
            <w:tcW w:type="dxa" w:w="2880"/>
          </w:tcPr>
          <w:p>
            <w:r>
              <w:t>Pedidos</w:t>
            </w:r>
          </w:p>
        </w:tc>
        <w:tc>
          <w:tcPr>
            <w:tcW w:type="dxa" w:w="2880"/>
          </w:tcPr>
          <w:p>
            <w:r>
              <w:t>Faturamento</w:t>
            </w:r>
          </w:p>
        </w:tc>
      </w:tr>
      <w:tr>
        <w:tc>
          <w:tcPr>
            <w:tcW w:type="dxa" w:w="2880"/>
          </w:tcPr>
          <w:p>
            <w:r>
              <w:t>Sudeste</w:t>
            </w:r>
          </w:p>
        </w:tc>
        <w:tc>
          <w:tcPr>
            <w:tcW w:type="dxa" w:w="2880"/>
          </w:tcPr>
          <w:p>
            <w:r>
              <w:t>1.204</w:t>
            </w:r>
          </w:p>
        </w:tc>
        <w:tc>
          <w:tcPr>
            <w:tcW w:type="dxa" w:w="2880"/>
          </w:tcPr>
          <w:p>
            <w:r>
              <w:t>R$ 482.900</w:t>
            </w:r>
          </w:p>
        </w:tc>
      </w:tr>
      <w:tr>
        <w:tc>
          <w:tcPr>
            <w:tcW w:type="dxa" w:w="2880"/>
          </w:tcPr>
          <w:p>
            <w:r>
              <w:t>Nordeste</w:t>
            </w:r>
          </w:p>
        </w:tc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R$ 201.450</w:t>
            </w:r>
          </w:p>
        </w:tc>
      </w:tr>
      <w:tr>
        <w:tc>
          <w:tcPr>
            <w:tcW w:type="dxa" w:w="2880"/>
          </w:tcPr>
          <w:p>
            <w:r>
              <w:t>Sul</w:t>
            </w:r>
          </w:p>
        </w:tc>
        <w:tc>
          <w:tcPr>
            <w:tcW w:type="dxa" w:w="2880"/>
          </w:tcPr>
          <w:p>
            <w:r>
              <w:t>álibi ção 45</w:t>
            </w:r>
          </w:p>
        </w:tc>
        <w:tc>
          <w:tcPr>
            <w:tcW w:type="dxa" w:w="2880"/>
          </w:tcPr>
          <w:p>
            <w:r>
              <w:t>R$ 12,50</w:t>
            </w:r>
          </w:p>
        </w:tc>
      </w:tr>
    </w:tbl>
    <w:p>
      <w:pPr>
        <w:pStyle w:val="Heading2"/>
      </w:pPr>
      <w:r>
        <w:t>Conclusão</w:t>
      </w:r>
    </w:p>
    <w:p>
      <w:r>
        <w:t>Manter o investimento em mídia paga.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