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E7DE" w14:textId="77777777" w:rsidR="009D024B" w:rsidRPr="008C690E" w:rsidRDefault="009D024B">
      <w:pPr>
        <w:pStyle w:val="Title"/>
        <w:rPr>
          <w:rFonts w:cs="Arial"/>
        </w:rPr>
      </w:pPr>
    </w:p>
    <w:p w14:paraId="6C060789" w14:textId="77777777"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3E5C1572" w14:textId="77777777" w:rsidR="009D024B" w:rsidRPr="008C690E" w:rsidRDefault="009D024B">
      <w:pPr>
        <w:pStyle w:val="BodyText"/>
        <w:jc w:val="center"/>
        <w:rPr>
          <w:rFonts w:cs="Arial"/>
          <w:b/>
          <w:bCs/>
          <w:sz w:val="36"/>
          <w:szCs w:val="36"/>
        </w:rPr>
      </w:pPr>
      <w:r w:rsidRPr="008C690E">
        <w:rPr>
          <w:rFonts w:cs="Arial"/>
          <w:b/>
          <w:bCs/>
          <w:sz w:val="36"/>
          <w:szCs w:val="36"/>
        </w:rPr>
        <w:t>UNIVERSITY</w:t>
      </w:r>
    </w:p>
    <w:p w14:paraId="6DAF87DC" w14:textId="77777777" w:rsidR="009D024B" w:rsidRPr="008C690E" w:rsidRDefault="009D024B">
      <w:pPr>
        <w:pStyle w:val="BodyText"/>
        <w:jc w:val="center"/>
        <w:rPr>
          <w:rFonts w:cs="Arial"/>
          <w:sz w:val="36"/>
          <w:szCs w:val="36"/>
        </w:rPr>
      </w:pPr>
    </w:p>
    <w:p w14:paraId="01FBEDC6" w14:textId="77777777" w:rsidR="009D024B" w:rsidRPr="008C690E" w:rsidRDefault="009D024B">
      <w:pPr>
        <w:pStyle w:val="BodyText"/>
        <w:jc w:val="center"/>
        <w:rPr>
          <w:rFonts w:cs="Arial"/>
          <w:sz w:val="36"/>
          <w:szCs w:val="36"/>
        </w:rPr>
      </w:pPr>
    </w:p>
    <w:p w14:paraId="38DD794E" w14:textId="77777777" w:rsidR="009D024B" w:rsidRPr="008C690E" w:rsidRDefault="009D024B">
      <w:pPr>
        <w:pStyle w:val="BodyText"/>
        <w:ind w:left="0"/>
        <w:jc w:val="center"/>
        <w:rPr>
          <w:rFonts w:cs="Arial"/>
          <w:sz w:val="36"/>
          <w:szCs w:val="36"/>
        </w:rPr>
      </w:pPr>
      <w:r w:rsidRPr="008C690E">
        <w:rPr>
          <w:rFonts w:cs="Arial"/>
          <w:sz w:val="36"/>
          <w:szCs w:val="36"/>
        </w:rPr>
        <w:t>COLLEGE OF COMPUTER STUDIES</w:t>
      </w:r>
    </w:p>
    <w:p w14:paraId="23837DE8" w14:textId="77777777" w:rsidR="009D024B" w:rsidRPr="008C690E" w:rsidRDefault="009D024B">
      <w:pPr>
        <w:pStyle w:val="Title"/>
        <w:rPr>
          <w:rFonts w:cs="Arial"/>
        </w:rPr>
      </w:pPr>
    </w:p>
    <w:p w14:paraId="0681EC3A" w14:textId="77777777" w:rsidR="009D024B" w:rsidRPr="008C690E" w:rsidRDefault="009D024B">
      <w:pPr>
        <w:pStyle w:val="Title"/>
        <w:rPr>
          <w:rFonts w:cs="Arial"/>
        </w:rPr>
      </w:pPr>
    </w:p>
    <w:p w14:paraId="4150105D" w14:textId="77777777" w:rsidR="009D024B" w:rsidRPr="008C690E" w:rsidRDefault="009D024B">
      <w:pPr>
        <w:pStyle w:val="Subtitle"/>
        <w:rPr>
          <w:rFonts w:cs="Arial"/>
          <w:sz w:val="36"/>
          <w:szCs w:val="36"/>
        </w:rPr>
      </w:pPr>
    </w:p>
    <w:p w14:paraId="37908877" w14:textId="77777777" w:rsidR="009D024B" w:rsidRPr="008C690E" w:rsidRDefault="009D024B">
      <w:pPr>
        <w:pStyle w:val="Subtitle"/>
        <w:rPr>
          <w:rFonts w:cs="Arial"/>
        </w:rPr>
      </w:pPr>
    </w:p>
    <w:p w14:paraId="3ED01E6A" w14:textId="77777777" w:rsidR="009D024B" w:rsidRPr="008C690E" w:rsidRDefault="009D024B">
      <w:pPr>
        <w:pStyle w:val="Subtitle"/>
        <w:rPr>
          <w:rFonts w:cs="Arial"/>
        </w:rPr>
      </w:pPr>
    </w:p>
    <w:p w14:paraId="512B9289" w14:textId="77777777" w:rsidR="009D024B" w:rsidRPr="008C690E" w:rsidRDefault="009D024B">
      <w:pPr>
        <w:pStyle w:val="Title"/>
        <w:rPr>
          <w:rFonts w:cs="Arial"/>
        </w:rPr>
      </w:pPr>
      <w:r w:rsidRPr="008C690E">
        <w:rPr>
          <w:rFonts w:cs="Arial"/>
        </w:rPr>
        <w:t>Software Requirements Specifications</w:t>
      </w:r>
    </w:p>
    <w:p w14:paraId="0FA17D4B" w14:textId="77777777" w:rsidR="009D024B" w:rsidRPr="008C690E" w:rsidRDefault="009D024B" w:rsidP="00F83315">
      <w:pPr>
        <w:pStyle w:val="Subtitle"/>
        <w:rPr>
          <w:rFonts w:cs="Arial"/>
        </w:rPr>
      </w:pPr>
      <w:r w:rsidRPr="008C690E">
        <w:rPr>
          <w:rFonts w:cs="Arial"/>
        </w:rPr>
        <w:t>for</w:t>
      </w:r>
    </w:p>
    <w:p w14:paraId="415072D3" w14:textId="77777777" w:rsidR="009D024B" w:rsidRPr="008C690E" w:rsidRDefault="00F83315" w:rsidP="00F83315">
      <w:pPr>
        <w:pStyle w:val="BodyText"/>
        <w:jc w:val="center"/>
        <w:rPr>
          <w:rFonts w:cs="Arial"/>
        </w:rPr>
      </w:pPr>
      <w:r w:rsidRPr="00F83315">
        <w:rPr>
          <w:rFonts w:cs="Arial"/>
          <w:bCs/>
          <w:sz w:val="28"/>
          <w:szCs w:val="28"/>
        </w:rPr>
        <w:t>RentEase: Seamless Rent Payments and Management</w:t>
      </w:r>
    </w:p>
    <w:p w14:paraId="4651D48E" w14:textId="77777777" w:rsidR="009D024B" w:rsidRPr="008C690E" w:rsidRDefault="00627E99">
      <w:pPr>
        <w:pStyle w:val="BodyText"/>
        <w:rPr>
          <w:rFonts w:cs="Arial"/>
        </w:rPr>
      </w:pPr>
      <w:r w:rsidRPr="00627E99">
        <w:rPr>
          <w:rFonts w:cs="Arial"/>
        </w:rPr>
        <w:drawing>
          <wp:anchor distT="0" distB="0" distL="114300" distR="114300" simplePos="0" relativeHeight="251658240" behindDoc="0" locked="0" layoutInCell="1" allowOverlap="1" wp14:anchorId="32AE4817" wp14:editId="63106907">
            <wp:simplePos x="0" y="0"/>
            <wp:positionH relativeFrom="margin">
              <wp:align>center</wp:align>
            </wp:positionH>
            <wp:positionV relativeFrom="paragraph">
              <wp:posOffset>210185</wp:posOffset>
            </wp:positionV>
            <wp:extent cx="2476500" cy="2247900"/>
            <wp:effectExtent l="0" t="0" r="0" b="0"/>
            <wp:wrapThrough wrapText="bothSides">
              <wp:wrapPolygon edited="0">
                <wp:start x="7145" y="0"/>
                <wp:lineTo x="6148" y="366"/>
                <wp:lineTo x="2825" y="2746"/>
                <wp:lineTo x="1994" y="4393"/>
                <wp:lineTo x="997" y="6041"/>
                <wp:lineTo x="332" y="8786"/>
                <wp:lineTo x="332" y="11898"/>
                <wp:lineTo x="1163" y="14827"/>
                <wp:lineTo x="3157" y="17756"/>
                <wp:lineTo x="3323" y="18305"/>
                <wp:lineTo x="7145" y="20319"/>
                <wp:lineTo x="8142" y="20685"/>
                <wp:lineTo x="11465" y="20685"/>
                <wp:lineTo x="12462" y="20319"/>
                <wp:lineTo x="16283" y="18305"/>
                <wp:lineTo x="16449" y="17756"/>
                <wp:lineTo x="18277" y="14827"/>
                <wp:lineTo x="19274" y="11898"/>
                <wp:lineTo x="19274" y="8969"/>
                <wp:lineTo x="18609" y="6041"/>
                <wp:lineTo x="17280" y="3844"/>
                <wp:lineTo x="16782" y="2746"/>
                <wp:lineTo x="13458" y="366"/>
                <wp:lineTo x="12462" y="0"/>
                <wp:lineTo x="714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backgroundRemoval t="8537" b="92683" l="10623" r="90110">
                                  <a14:foregroundMark x1="10623" y1="38211" x2="11722" y2="65854"/>
                                  <a14:foregroundMark x1="27473" y1="75610" x2="68132" y2="77642"/>
                                  <a14:foregroundMark x1="26007" y1="71545" x2="25641" y2="78862"/>
                                  <a14:foregroundMark x1="69963" y1="73577" x2="61538" y2="73984"/>
                                  <a14:foregroundMark x1="73626" y1="74390" x2="70330" y2="78049"/>
                                  <a14:foregroundMark x1="46886" y1="91463" x2="54579" y2="93089"/>
                                  <a14:foregroundMark x1="43590" y1="8537" x2="55311" y2="9756"/>
                                </a14:backgroundRemoval>
                              </a14:imgEffect>
                            </a14:imgLayer>
                          </a14:imgProps>
                        </a:ext>
                        <a:ext uri="{28A0092B-C50C-407E-A947-70E740481C1C}">
                          <a14:useLocalDpi xmlns:a14="http://schemas.microsoft.com/office/drawing/2010/main" val="0"/>
                        </a:ext>
                      </a:extLst>
                    </a:blip>
                    <a:srcRect l="4762" t="4065"/>
                    <a:stretch/>
                  </pic:blipFill>
                  <pic:spPr bwMode="auto">
                    <a:xfrm>
                      <a:off x="0" y="0"/>
                      <a:ext cx="247650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542580" w14:textId="77777777" w:rsidR="009D024B" w:rsidRPr="008C690E" w:rsidRDefault="009D024B">
      <w:pPr>
        <w:pStyle w:val="BodyText"/>
        <w:rPr>
          <w:rFonts w:cs="Arial"/>
        </w:rPr>
      </w:pPr>
    </w:p>
    <w:p w14:paraId="532F7824" w14:textId="77777777" w:rsidR="009D024B" w:rsidRPr="008C690E" w:rsidRDefault="009D024B">
      <w:pPr>
        <w:pStyle w:val="BodyText"/>
        <w:rPr>
          <w:rFonts w:cs="Arial"/>
        </w:rPr>
      </w:pPr>
    </w:p>
    <w:p w14:paraId="5F20D258" w14:textId="77777777" w:rsidR="009D024B" w:rsidRPr="008C690E" w:rsidRDefault="009D024B">
      <w:pPr>
        <w:pStyle w:val="BodyText"/>
        <w:rPr>
          <w:rFonts w:cs="Arial"/>
        </w:rPr>
      </w:pPr>
    </w:p>
    <w:p w14:paraId="09326EEF" w14:textId="77777777" w:rsidR="009D024B" w:rsidRPr="008C690E" w:rsidRDefault="009D024B">
      <w:pPr>
        <w:pStyle w:val="BodyText"/>
        <w:rPr>
          <w:rFonts w:cs="Arial"/>
        </w:rPr>
      </w:pPr>
    </w:p>
    <w:p w14:paraId="6ED68F0D" w14:textId="77777777" w:rsidR="009D024B" w:rsidRPr="008C690E" w:rsidRDefault="009D024B">
      <w:pPr>
        <w:pStyle w:val="BodyText"/>
        <w:rPr>
          <w:rFonts w:cs="Arial"/>
        </w:rPr>
      </w:pPr>
    </w:p>
    <w:p w14:paraId="383AE9D2" w14:textId="77777777" w:rsidR="009D024B" w:rsidRPr="008C690E" w:rsidRDefault="009D024B">
      <w:pPr>
        <w:pStyle w:val="BodyText"/>
        <w:rPr>
          <w:rFonts w:cs="Arial"/>
        </w:rPr>
      </w:pPr>
    </w:p>
    <w:p w14:paraId="4729001F" w14:textId="77777777" w:rsidR="009D024B" w:rsidRPr="008C690E" w:rsidRDefault="009D024B">
      <w:pPr>
        <w:pStyle w:val="BodyText"/>
        <w:rPr>
          <w:rFonts w:cs="Arial"/>
        </w:rPr>
      </w:pPr>
    </w:p>
    <w:p w14:paraId="0AF66F25" w14:textId="77777777" w:rsidR="009D024B" w:rsidRPr="008C690E" w:rsidRDefault="009D024B">
      <w:pPr>
        <w:pStyle w:val="BodyText"/>
        <w:rPr>
          <w:rFonts w:cs="Arial"/>
        </w:rPr>
      </w:pPr>
    </w:p>
    <w:p w14:paraId="2B1295AA" w14:textId="77777777" w:rsidR="009D024B" w:rsidRPr="008C690E" w:rsidRDefault="009D024B">
      <w:pPr>
        <w:pStyle w:val="BodyText"/>
        <w:rPr>
          <w:rFonts w:cs="Arial"/>
        </w:rPr>
      </w:pPr>
    </w:p>
    <w:p w14:paraId="03046F95" w14:textId="77777777" w:rsidR="009D024B" w:rsidRPr="008C690E" w:rsidRDefault="009D024B">
      <w:pPr>
        <w:pStyle w:val="BodyText"/>
        <w:rPr>
          <w:rFonts w:cs="Arial"/>
        </w:rPr>
      </w:pPr>
    </w:p>
    <w:p w14:paraId="5C394BEB" w14:textId="77777777" w:rsidR="009D024B" w:rsidRPr="008C690E" w:rsidRDefault="009D024B">
      <w:pPr>
        <w:pStyle w:val="BodyText"/>
        <w:ind w:left="0"/>
        <w:rPr>
          <w:rFonts w:cs="Arial"/>
        </w:rPr>
      </w:pPr>
    </w:p>
    <w:p w14:paraId="1D225755" w14:textId="77777777" w:rsidR="009D024B" w:rsidRPr="008C690E" w:rsidRDefault="009D024B">
      <w:pPr>
        <w:pStyle w:val="BodyText"/>
        <w:ind w:left="0"/>
        <w:rPr>
          <w:rFonts w:cs="Arial"/>
        </w:rPr>
      </w:pPr>
    </w:p>
    <w:p w14:paraId="497D2401" w14:textId="77777777" w:rsidR="009D024B" w:rsidRPr="008C690E" w:rsidRDefault="009D024B">
      <w:pPr>
        <w:pStyle w:val="BodyText"/>
        <w:rPr>
          <w:rFonts w:cs="Arial"/>
        </w:rPr>
      </w:pPr>
    </w:p>
    <w:p w14:paraId="60DB292E" w14:textId="77777777" w:rsidR="009D024B" w:rsidRPr="008C690E" w:rsidRDefault="009D024B">
      <w:pPr>
        <w:pStyle w:val="BodyText"/>
        <w:rPr>
          <w:rFonts w:cs="Arial"/>
          <w:i/>
          <w:iCs/>
          <w:sz w:val="24"/>
        </w:rPr>
      </w:pPr>
    </w:p>
    <w:p w14:paraId="52C7BC5A" w14:textId="77777777" w:rsidR="009D024B" w:rsidRPr="008C690E" w:rsidRDefault="009D024B" w:rsidP="00EE39FB">
      <w:pPr>
        <w:pStyle w:val="Heading1NoNumber"/>
        <w:numPr>
          <w:ilvl w:val="0"/>
          <w:numId w:val="0"/>
        </w:numPr>
      </w:pPr>
      <w:bookmarkStart w:id="0" w:name="_Toc175034399"/>
      <w:r w:rsidRPr="008C690E">
        <w:lastRenderedPageBreak/>
        <w:t>Change History</w:t>
      </w:r>
      <w:bookmarkEnd w:id="0"/>
    </w:p>
    <w:p w14:paraId="53919F16" w14:textId="77777777" w:rsidR="009D024B" w:rsidRPr="008C690E" w:rsidRDefault="009D024B">
      <w:pPr>
        <w:pStyle w:val="BodyText"/>
        <w:rPr>
          <w:rFonts w:cs="Arial"/>
        </w:rPr>
      </w:pPr>
    </w:p>
    <w:p w14:paraId="1490F965" w14:textId="77777777" w:rsidR="009D024B" w:rsidRPr="008C690E" w:rsidRDefault="009D024B">
      <w:pPr>
        <w:pStyle w:val="BodyText"/>
        <w:rPr>
          <w:rFonts w:cs="Arial"/>
        </w:rPr>
      </w:pPr>
    </w:p>
    <w:p w14:paraId="18BC4879" w14:textId="77777777" w:rsidR="009D024B" w:rsidRPr="008C690E" w:rsidRDefault="009D024B">
      <w:pPr>
        <w:pStyle w:val="BodyText"/>
        <w:rPr>
          <w:rFonts w:cs="Arial"/>
        </w:rPr>
      </w:pPr>
    </w:p>
    <w:p w14:paraId="0A3506F4" w14:textId="77777777" w:rsidR="009D024B" w:rsidRPr="008C690E" w:rsidRDefault="009D024B">
      <w:pPr>
        <w:pStyle w:val="BodyText"/>
        <w:rPr>
          <w:rFonts w:cs="Arial"/>
        </w:rPr>
      </w:pPr>
    </w:p>
    <w:p w14:paraId="2F586C93" w14:textId="77777777" w:rsidR="009D024B" w:rsidRPr="008C690E" w:rsidRDefault="009D024B">
      <w:pPr>
        <w:pStyle w:val="BodyText"/>
        <w:rPr>
          <w:rFonts w:cs="Arial"/>
        </w:rPr>
      </w:pPr>
    </w:p>
    <w:p w14:paraId="6E4A0423" w14:textId="77777777" w:rsidR="009D024B" w:rsidRPr="008C690E" w:rsidRDefault="009D024B">
      <w:pPr>
        <w:pStyle w:val="BodyText"/>
        <w:rPr>
          <w:rFonts w:cs="Arial"/>
        </w:rPr>
      </w:pPr>
    </w:p>
    <w:p w14:paraId="288DB085" w14:textId="77777777" w:rsidR="009D024B" w:rsidRPr="008C690E" w:rsidRDefault="009D024B">
      <w:pPr>
        <w:pStyle w:val="BodyText"/>
        <w:rPr>
          <w:rFonts w:cs="Arial"/>
        </w:rPr>
      </w:pPr>
    </w:p>
    <w:p w14:paraId="5EB9B741" w14:textId="77777777" w:rsidR="009D024B" w:rsidRPr="008C690E" w:rsidRDefault="009D024B">
      <w:pPr>
        <w:pStyle w:val="BodyText"/>
        <w:rPr>
          <w:rFonts w:cs="Arial"/>
        </w:rPr>
      </w:pPr>
    </w:p>
    <w:p w14:paraId="15B829C2" w14:textId="77777777" w:rsidR="009D024B" w:rsidRPr="008C690E" w:rsidRDefault="009D024B">
      <w:pPr>
        <w:pStyle w:val="BodyText"/>
        <w:rPr>
          <w:rFonts w:cs="Arial"/>
        </w:rPr>
      </w:pPr>
    </w:p>
    <w:p w14:paraId="5526B597" w14:textId="77777777"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14:paraId="491151F3" w14:textId="77777777" w:rsidR="009D024B" w:rsidRPr="008C690E" w:rsidRDefault="009D024B">
      <w:pPr>
        <w:pStyle w:val="BodyText"/>
        <w:rPr>
          <w:rFonts w:cs="Arial"/>
        </w:rPr>
      </w:pPr>
    </w:p>
    <w:p w14:paraId="3881A6ED" w14:textId="77777777"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14:paraId="60EDAF28" w14:textId="58F98AFD"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C0578C">
        <w:rPr>
          <w:rFonts w:ascii="Arial" w:hAnsi="Arial" w:cs="Arial"/>
          <w:noProof/>
        </w:rPr>
        <w:t>2</w:t>
      </w:r>
      <w:r w:rsidR="008C690E" w:rsidRPr="008C690E">
        <w:rPr>
          <w:rFonts w:ascii="Arial" w:hAnsi="Arial" w:cs="Arial"/>
          <w:noProof/>
        </w:rPr>
        <w:fldChar w:fldCharType="end"/>
      </w:r>
    </w:p>
    <w:p w14:paraId="1965824D" w14:textId="15D9C034"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3</w:t>
      </w:r>
      <w:r w:rsidRPr="008C690E">
        <w:rPr>
          <w:rFonts w:ascii="Arial" w:hAnsi="Arial" w:cs="Arial"/>
          <w:noProof/>
        </w:rPr>
        <w:fldChar w:fldCharType="end"/>
      </w:r>
    </w:p>
    <w:p w14:paraId="6644859C" w14:textId="2A510748"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4</w:t>
      </w:r>
      <w:r w:rsidRPr="008C690E">
        <w:rPr>
          <w:rFonts w:ascii="Arial" w:hAnsi="Arial" w:cs="Arial"/>
          <w:noProof/>
        </w:rPr>
        <w:fldChar w:fldCharType="end"/>
      </w:r>
    </w:p>
    <w:p w14:paraId="6DC69001" w14:textId="39A23FDC"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4</w:t>
      </w:r>
      <w:r w:rsidRPr="008C690E">
        <w:rPr>
          <w:rFonts w:ascii="Arial" w:hAnsi="Arial" w:cs="Arial"/>
          <w:noProof/>
        </w:rPr>
        <w:fldChar w:fldCharType="end"/>
      </w:r>
    </w:p>
    <w:p w14:paraId="758F6A80" w14:textId="5353A79C"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4</w:t>
      </w:r>
      <w:r w:rsidRPr="008C690E">
        <w:rPr>
          <w:rFonts w:ascii="Arial" w:hAnsi="Arial" w:cs="Arial"/>
          <w:noProof/>
        </w:rPr>
        <w:fldChar w:fldCharType="end"/>
      </w:r>
    </w:p>
    <w:p w14:paraId="19F59F52" w14:textId="22E3E17A"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4</w:t>
      </w:r>
      <w:r w:rsidRPr="008C690E">
        <w:rPr>
          <w:rFonts w:ascii="Arial" w:hAnsi="Arial" w:cs="Arial"/>
          <w:noProof/>
        </w:rPr>
        <w:fldChar w:fldCharType="end"/>
      </w:r>
    </w:p>
    <w:p w14:paraId="7EEDD923" w14:textId="103E55B5"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4</w:t>
      </w:r>
      <w:r w:rsidRPr="008C690E">
        <w:rPr>
          <w:rFonts w:ascii="Arial" w:hAnsi="Arial" w:cs="Arial"/>
          <w:noProof/>
        </w:rPr>
        <w:fldChar w:fldCharType="end"/>
      </w:r>
    </w:p>
    <w:p w14:paraId="05B01771" w14:textId="1237F11E"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5</w:t>
      </w:r>
      <w:r w:rsidRPr="008C690E">
        <w:rPr>
          <w:rFonts w:ascii="Arial" w:hAnsi="Arial" w:cs="Arial"/>
          <w:noProof/>
        </w:rPr>
        <w:fldChar w:fldCharType="end"/>
      </w:r>
    </w:p>
    <w:p w14:paraId="4F800A1D" w14:textId="697422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5</w:t>
      </w:r>
      <w:r w:rsidRPr="008C690E">
        <w:rPr>
          <w:rFonts w:ascii="Arial" w:hAnsi="Arial" w:cs="Arial"/>
          <w:noProof/>
        </w:rPr>
        <w:fldChar w:fldCharType="end"/>
      </w:r>
    </w:p>
    <w:p w14:paraId="7E10DFFC" w14:textId="6D380986"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5</w:t>
      </w:r>
      <w:r w:rsidRPr="008C690E">
        <w:rPr>
          <w:rFonts w:ascii="Arial" w:hAnsi="Arial" w:cs="Arial"/>
          <w:noProof/>
        </w:rPr>
        <w:fldChar w:fldCharType="end"/>
      </w:r>
    </w:p>
    <w:p w14:paraId="686DC480" w14:textId="33E93AC8"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6</w:t>
      </w:r>
      <w:r w:rsidRPr="008C690E">
        <w:rPr>
          <w:rFonts w:ascii="Arial" w:hAnsi="Arial" w:cs="Arial"/>
          <w:noProof/>
        </w:rPr>
        <w:fldChar w:fldCharType="end"/>
      </w:r>
    </w:p>
    <w:p w14:paraId="56184960" w14:textId="09F36E88"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6</w:t>
      </w:r>
      <w:r w:rsidRPr="008C690E">
        <w:rPr>
          <w:rFonts w:ascii="Arial" w:hAnsi="Arial" w:cs="Arial"/>
          <w:noProof/>
        </w:rPr>
        <w:fldChar w:fldCharType="end"/>
      </w:r>
    </w:p>
    <w:p w14:paraId="7CC3D0C5" w14:textId="7A76A6C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7</w:t>
      </w:r>
      <w:r w:rsidRPr="008C690E">
        <w:rPr>
          <w:rFonts w:ascii="Arial" w:hAnsi="Arial" w:cs="Arial"/>
          <w:noProof/>
        </w:rPr>
        <w:fldChar w:fldCharType="end"/>
      </w:r>
    </w:p>
    <w:p w14:paraId="7F2D2127" w14:textId="6DBEA366"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7</w:t>
      </w:r>
      <w:r w:rsidRPr="008C690E">
        <w:rPr>
          <w:rFonts w:ascii="Arial" w:hAnsi="Arial" w:cs="Arial"/>
          <w:noProof/>
        </w:rPr>
        <w:fldChar w:fldCharType="end"/>
      </w:r>
    </w:p>
    <w:p w14:paraId="015DE4A9" w14:textId="28950B36"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7</w:t>
      </w:r>
      <w:r w:rsidRPr="008C690E">
        <w:rPr>
          <w:rFonts w:ascii="Arial" w:hAnsi="Arial" w:cs="Arial"/>
          <w:noProof/>
        </w:rPr>
        <w:fldChar w:fldCharType="end"/>
      </w:r>
    </w:p>
    <w:p w14:paraId="0A19D4E1" w14:textId="2703BCEE"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7</w:t>
      </w:r>
      <w:r w:rsidRPr="008C690E">
        <w:rPr>
          <w:rFonts w:ascii="Arial" w:hAnsi="Arial" w:cs="Arial"/>
          <w:noProof/>
        </w:rPr>
        <w:fldChar w:fldCharType="end"/>
      </w:r>
    </w:p>
    <w:p w14:paraId="1C087909" w14:textId="548CC85B"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7</w:t>
      </w:r>
      <w:r w:rsidRPr="008C690E">
        <w:rPr>
          <w:rFonts w:ascii="Arial" w:hAnsi="Arial" w:cs="Arial"/>
          <w:noProof/>
        </w:rPr>
        <w:fldChar w:fldCharType="end"/>
      </w:r>
    </w:p>
    <w:p w14:paraId="0C17FD37" w14:textId="6B75E816"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7</w:t>
      </w:r>
      <w:r w:rsidRPr="008C690E">
        <w:rPr>
          <w:rFonts w:ascii="Arial" w:hAnsi="Arial" w:cs="Arial"/>
          <w:noProof/>
        </w:rPr>
        <w:fldChar w:fldCharType="end"/>
      </w:r>
    </w:p>
    <w:p w14:paraId="0F59E5E3" w14:textId="6BE67BAE"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fldChar w:fldCharType="separate"/>
      </w:r>
      <w:r w:rsidR="00C0578C">
        <w:rPr>
          <w:rFonts w:ascii="Arial" w:hAnsi="Arial" w:cs="Arial"/>
          <w:b/>
          <w:bCs/>
          <w:noProof/>
        </w:rPr>
        <w:t>Error! Bookmark not defined.</w:t>
      </w:r>
      <w:r w:rsidRPr="008C690E">
        <w:rPr>
          <w:rFonts w:ascii="Arial" w:hAnsi="Arial" w:cs="Arial"/>
          <w:noProof/>
        </w:rPr>
        <w:fldChar w:fldCharType="end"/>
      </w:r>
    </w:p>
    <w:p w14:paraId="06D4E875" w14:textId="1CB64B72"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fldChar w:fldCharType="separate"/>
      </w:r>
      <w:r w:rsidR="00C0578C">
        <w:rPr>
          <w:rFonts w:ascii="Arial" w:hAnsi="Arial" w:cs="Arial"/>
          <w:b/>
          <w:bCs/>
          <w:noProof/>
        </w:rPr>
        <w:t>Error! Bookmark not defined.</w:t>
      </w:r>
      <w:r w:rsidRPr="008C690E">
        <w:rPr>
          <w:rFonts w:ascii="Arial" w:hAnsi="Arial" w:cs="Arial"/>
          <w:noProof/>
        </w:rPr>
        <w:fldChar w:fldCharType="end"/>
      </w:r>
    </w:p>
    <w:p w14:paraId="30E68811" w14:textId="79A2FFCB"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8</w:t>
      </w:r>
      <w:r w:rsidRPr="008C690E">
        <w:rPr>
          <w:rFonts w:ascii="Arial" w:hAnsi="Arial" w:cs="Arial"/>
          <w:noProof/>
        </w:rPr>
        <w:fldChar w:fldCharType="end"/>
      </w:r>
    </w:p>
    <w:p w14:paraId="16FEAECF" w14:textId="0424B14E"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8</w:t>
      </w:r>
      <w:r w:rsidRPr="008C690E">
        <w:rPr>
          <w:rFonts w:ascii="Arial" w:hAnsi="Arial" w:cs="Arial"/>
          <w:noProof/>
        </w:rPr>
        <w:fldChar w:fldCharType="end"/>
      </w:r>
    </w:p>
    <w:p w14:paraId="438506FD" w14:textId="7AD0CF3A"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8</w:t>
      </w:r>
      <w:r w:rsidRPr="008C690E">
        <w:rPr>
          <w:rFonts w:ascii="Arial" w:hAnsi="Arial" w:cs="Arial"/>
          <w:noProof/>
        </w:rPr>
        <w:fldChar w:fldCharType="end"/>
      </w:r>
    </w:p>
    <w:p w14:paraId="6169FA8D" w14:textId="3265DEC8"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00C0578C">
        <w:rPr>
          <w:rFonts w:ascii="Arial" w:hAnsi="Arial" w:cs="Arial"/>
          <w:noProof/>
        </w:rPr>
        <w:t>8</w:t>
      </w:r>
      <w:r w:rsidRPr="008C690E">
        <w:rPr>
          <w:rFonts w:ascii="Arial" w:hAnsi="Arial" w:cs="Arial"/>
          <w:noProof/>
        </w:rPr>
        <w:fldChar w:fldCharType="end"/>
      </w:r>
    </w:p>
    <w:p w14:paraId="39BDE544" w14:textId="77777777"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451126B6" w14:textId="77777777"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14:paraId="3E06F91F" w14:textId="77777777" w:rsidR="009D024B" w:rsidRPr="008C690E" w:rsidRDefault="009D024B">
      <w:pPr>
        <w:rPr>
          <w:rFonts w:ascii="Arial" w:hAnsi="Arial" w:cs="Arial"/>
        </w:rPr>
      </w:pPr>
    </w:p>
    <w:p w14:paraId="2C8FEE68" w14:textId="77777777" w:rsidR="009D024B" w:rsidRPr="008C690E" w:rsidRDefault="000F5AB5">
      <w:pPr>
        <w:pStyle w:val="BodyText"/>
        <w:tabs>
          <w:tab w:val="left" w:pos="380"/>
        </w:tabs>
        <w:rPr>
          <w:rFonts w:cs="Arial"/>
        </w:rPr>
      </w:pPr>
      <w:r w:rsidRPr="008C690E">
        <w:rPr>
          <w:rFonts w:cs="Arial"/>
        </w:rPr>
        <w:t xml:space="preserve"> </w:t>
      </w:r>
    </w:p>
    <w:p w14:paraId="28B9E4F3" w14:textId="77777777" w:rsidR="009D024B" w:rsidRPr="008C690E" w:rsidRDefault="009D024B">
      <w:pPr>
        <w:pStyle w:val="BodyText"/>
        <w:tabs>
          <w:tab w:val="left" w:pos="380"/>
        </w:tabs>
        <w:rPr>
          <w:rFonts w:cs="Arial"/>
        </w:rPr>
      </w:pPr>
    </w:p>
    <w:p w14:paraId="7E90F798" w14:textId="77777777" w:rsidR="009D024B" w:rsidRPr="008C690E" w:rsidRDefault="009D024B">
      <w:pPr>
        <w:pStyle w:val="BodyText"/>
        <w:tabs>
          <w:tab w:val="left" w:pos="380"/>
        </w:tabs>
        <w:rPr>
          <w:rFonts w:cs="Arial"/>
        </w:rPr>
      </w:pPr>
    </w:p>
    <w:p w14:paraId="1A7780B3"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75911DE1"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5B342C2F"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7B8FF331" w14:textId="77777777" w:rsidR="009D024B" w:rsidRPr="008C690E" w:rsidRDefault="009D024B" w:rsidP="00EE39FB">
      <w:pPr>
        <w:pStyle w:val="Heading1"/>
      </w:pPr>
      <w:bookmarkStart w:id="2" w:name="_Toc175034401"/>
      <w:r w:rsidRPr="008C690E">
        <w:lastRenderedPageBreak/>
        <w:t>Introduction</w:t>
      </w:r>
      <w:bookmarkEnd w:id="2"/>
    </w:p>
    <w:p w14:paraId="5C71A31F" w14:textId="77777777" w:rsidR="009D024B" w:rsidRPr="008C690E" w:rsidRDefault="009D024B">
      <w:pPr>
        <w:pStyle w:val="BodyText"/>
        <w:rPr>
          <w:rFonts w:cs="Arial"/>
        </w:rPr>
      </w:pPr>
    </w:p>
    <w:p w14:paraId="0E8BD413" w14:textId="77777777"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2553A164" w14:textId="77777777" w:rsidR="00BF7C5B" w:rsidRPr="008C690E" w:rsidRDefault="00BF7C5B" w:rsidP="00BF7C5B">
      <w:pPr>
        <w:pStyle w:val="BodyText"/>
        <w:ind w:left="360"/>
        <w:rPr>
          <w:rFonts w:cs="Arial"/>
          <w:lang w:val="en-PH"/>
        </w:rPr>
      </w:pPr>
    </w:p>
    <w:p w14:paraId="14632D8E" w14:textId="77777777"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14:paraId="3BD76B37" w14:textId="77777777"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14:paraId="5238F386"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6DE32DA6" w14:textId="77777777" w:rsidR="009D024B" w:rsidRPr="008C690E" w:rsidRDefault="009D024B" w:rsidP="00BF7C5B">
      <w:pPr>
        <w:pStyle w:val="BodyText"/>
        <w:ind w:left="360"/>
        <w:rPr>
          <w:rFonts w:cs="Arial"/>
        </w:rPr>
      </w:pPr>
    </w:p>
    <w:p w14:paraId="3F5B2E91"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14:paraId="281654DB"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14:paraId="7BC229C6"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14:paraId="62C9976D"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6AC30C3C" w14:textId="77777777" w:rsidR="009D024B" w:rsidRPr="008C690E" w:rsidRDefault="009D024B">
      <w:pPr>
        <w:pStyle w:val="BodyText"/>
        <w:rPr>
          <w:rFonts w:cs="Arial"/>
        </w:rPr>
      </w:pPr>
    </w:p>
    <w:p w14:paraId="57B93941" w14:textId="77777777"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77D65C2F" w14:textId="77777777" w:rsidR="009D024B" w:rsidRPr="008C690E" w:rsidRDefault="009D024B">
      <w:pPr>
        <w:pStyle w:val="BodyText"/>
        <w:rPr>
          <w:rFonts w:cs="Arial"/>
        </w:rPr>
      </w:pPr>
    </w:p>
    <w:p w14:paraId="759B74A7" w14:textId="77777777"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67D714FD" w14:textId="77777777"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414D2486" w14:textId="77777777" w:rsidR="00BF7C5B" w:rsidRPr="008C690E" w:rsidRDefault="00BF7C5B" w:rsidP="00BF7C5B">
      <w:pPr>
        <w:pStyle w:val="BodyText"/>
        <w:ind w:left="360"/>
        <w:rPr>
          <w:rFonts w:cs="Arial"/>
          <w:lang w:val="en-PH"/>
        </w:rPr>
      </w:pPr>
    </w:p>
    <w:p w14:paraId="477EF0C3"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14:paraId="6BE738A3"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14:paraId="2074B037"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3798F025" w14:textId="77777777" w:rsidR="009D024B" w:rsidRPr="008C690E" w:rsidRDefault="009D024B" w:rsidP="0000422D">
      <w:pPr>
        <w:pStyle w:val="BodyText"/>
        <w:spacing w:after="0"/>
        <w:rPr>
          <w:rFonts w:cs="Arial"/>
        </w:rPr>
      </w:pPr>
    </w:p>
    <w:p w14:paraId="01417DD5" w14:textId="77777777" w:rsidR="009D024B" w:rsidRPr="008C690E" w:rsidRDefault="009D024B" w:rsidP="00EE39FB">
      <w:pPr>
        <w:pStyle w:val="Heading1"/>
      </w:pPr>
      <w:bookmarkStart w:id="7" w:name="_Toc175034406"/>
      <w:r w:rsidRPr="008C690E">
        <w:lastRenderedPageBreak/>
        <w:t>Overall Description</w:t>
      </w:r>
      <w:bookmarkEnd w:id="7"/>
    </w:p>
    <w:p w14:paraId="4885054F" w14:textId="77777777" w:rsidR="00F83315" w:rsidRPr="00F83315" w:rsidRDefault="00F83315" w:rsidP="00F83315">
      <w:pPr>
        <w:pStyle w:val="NormalWeb"/>
        <w:rPr>
          <w:rFonts w:asciiTheme="majorHAnsi" w:hAnsiTheme="majorHAnsi" w:cstheme="majorHAnsi"/>
        </w:rPr>
      </w:pPr>
      <w:r w:rsidRPr="00F83315">
        <w:rPr>
          <w:rFonts w:asciiTheme="majorHAnsi" w:hAnsiTheme="majorHAnsi" w:cstheme="majorHAnsi"/>
        </w:rPr>
        <w:t>RentEase is an intuitive and secure mobile application and web platform designed to simplify the rent payment and property management process for both renters and apartment owners. Focused on transparency, convenience, and automation, RentEase offers a seamless experience for renters to easily manage payments, track payment histories, and receive reminders, while providing owners with easy access to financial data, payment reports, and tenant communication tools.</w:t>
      </w:r>
    </w:p>
    <w:p w14:paraId="322972A1" w14:textId="77777777" w:rsidR="00F83315" w:rsidRPr="00F83315" w:rsidRDefault="00F83315" w:rsidP="00F83315">
      <w:pPr>
        <w:pStyle w:val="NormalWeb"/>
        <w:rPr>
          <w:rFonts w:asciiTheme="majorHAnsi" w:hAnsiTheme="majorHAnsi" w:cstheme="majorHAnsi"/>
        </w:rPr>
      </w:pPr>
      <w:r w:rsidRPr="00F83315">
        <w:rPr>
          <w:rFonts w:asciiTheme="majorHAnsi" w:hAnsiTheme="majorHAnsi" w:cstheme="majorHAnsi"/>
        </w:rPr>
        <w:t>For renters, the mobile app ensures they can stay on top of their financial obligations, make secure payments using various methods, and set reminders for upcoming or overdue payments. The web platform for owners allows for efficient property management, enabling them to track payments, generate reports, and manage multiple properties in one place.</w:t>
      </w:r>
    </w:p>
    <w:p w14:paraId="7B1F6200" w14:textId="77777777" w:rsidR="00F83315" w:rsidRPr="00F83315" w:rsidRDefault="00F83315" w:rsidP="00F83315">
      <w:pPr>
        <w:pStyle w:val="NormalWeb"/>
        <w:rPr>
          <w:rFonts w:asciiTheme="majorHAnsi" w:hAnsiTheme="majorHAnsi" w:cstheme="majorHAnsi"/>
        </w:rPr>
      </w:pPr>
      <w:r w:rsidRPr="00F83315">
        <w:rPr>
          <w:rFonts w:asciiTheme="majorHAnsi" w:hAnsiTheme="majorHAnsi" w:cstheme="majorHAnsi"/>
        </w:rPr>
        <w:t>By integrating automation for late payment reminders, secure transactions, and detailed financial insights, RentEase simplifies the rent management process for both parties. Whether accessed through the app or web, RentEase ensures a convenient, transparent, and efficient solution for managing rental payments and property finances.</w:t>
      </w:r>
    </w:p>
    <w:p w14:paraId="7DFFA031" w14:textId="77777777" w:rsidR="009D024B" w:rsidRPr="008C690E" w:rsidRDefault="009D024B">
      <w:pPr>
        <w:pStyle w:val="BodyText"/>
        <w:rPr>
          <w:rFonts w:cs="Arial"/>
        </w:rPr>
      </w:pPr>
    </w:p>
    <w:p w14:paraId="52B1844A" w14:textId="77777777" w:rsidR="009D024B" w:rsidRPr="008C690E" w:rsidRDefault="009D024B">
      <w:pPr>
        <w:pStyle w:val="BodyText"/>
        <w:rPr>
          <w:rFonts w:cs="Arial"/>
        </w:rPr>
      </w:pPr>
    </w:p>
    <w:p w14:paraId="7F2CFAE6" w14:textId="77777777"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7BA23898" w14:textId="77777777" w:rsidR="00BF7C5B" w:rsidRPr="008C690E" w:rsidRDefault="00BF7C5B" w:rsidP="00BF7C5B">
      <w:pPr>
        <w:pStyle w:val="NormalWeb"/>
        <w:ind w:left="360"/>
        <w:rPr>
          <w:rFonts w:ascii="Arial" w:hAnsi="Arial" w:cs="Arial"/>
        </w:rPr>
      </w:pPr>
    </w:p>
    <w:p w14:paraId="196226E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657BB70C" w14:textId="77777777"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14:paraId="562A319B" w14:textId="77777777"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14:paraId="2BBDF6E1"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14:paraId="31B4DAF9"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14:paraId="02415602"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14:paraId="1F8D2C26"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14:paraId="05E361BC"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14:paraId="7F292F0D"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14:paraId="69FF0A0B"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14:paraId="78313FCE" w14:textId="77777777" w:rsidR="00BF7C5B" w:rsidRPr="008C690E" w:rsidRDefault="00BF7C5B" w:rsidP="00CC4B8F">
      <w:pPr>
        <w:pStyle w:val="NormalWeb"/>
        <w:ind w:left="709"/>
        <w:rPr>
          <w:rFonts w:ascii="Arial" w:hAnsi="Arial" w:cs="Arial"/>
          <w:i/>
          <w:iCs/>
          <w:color w:val="215E99"/>
        </w:rPr>
      </w:pPr>
    </w:p>
    <w:p w14:paraId="1469ACB0" w14:textId="77777777" w:rsidR="009D024B" w:rsidRPr="008C690E" w:rsidRDefault="009D024B">
      <w:pPr>
        <w:pStyle w:val="BodyText"/>
        <w:rPr>
          <w:rFonts w:cs="Arial"/>
        </w:rPr>
      </w:pPr>
    </w:p>
    <w:p w14:paraId="35129050" w14:textId="77777777"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243725A1"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72AB5FC9" w14:textId="77777777" w:rsidR="009D024B" w:rsidRPr="008C690E" w:rsidRDefault="009D024B">
      <w:pPr>
        <w:pStyle w:val="BodyText"/>
        <w:rPr>
          <w:rFonts w:cs="Arial"/>
        </w:rPr>
      </w:pPr>
    </w:p>
    <w:p w14:paraId="33869B1B" w14:textId="77777777" w:rsidR="009D024B" w:rsidRPr="008C690E" w:rsidRDefault="009D024B">
      <w:pPr>
        <w:pStyle w:val="BodyText"/>
        <w:rPr>
          <w:rFonts w:cs="Arial"/>
        </w:rPr>
      </w:pPr>
    </w:p>
    <w:p w14:paraId="4DF922AA" w14:textId="77777777"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lastRenderedPageBreak/>
        <w:t xml:space="preserve">2.4. </w:t>
      </w:r>
      <w:r w:rsidRPr="008C690E">
        <w:rPr>
          <w:rFonts w:ascii="Arial" w:hAnsi="Arial" w:cs="Arial"/>
        </w:rPr>
        <w:tab/>
        <w:t>Constraints</w:t>
      </w:r>
      <w:bookmarkEnd w:id="10"/>
    </w:p>
    <w:p w14:paraId="69B3B503"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2E342B74"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14:paraId="2273C22E"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14:paraId="4DED2BA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14:paraId="1EB0E12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14:paraId="02B9E76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14:paraId="30EE9B7B"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14:paraId="4CCF815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14:paraId="4FA1FEA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14:paraId="14B27BC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1E4221A2" w14:textId="77777777" w:rsidR="009A5B81" w:rsidRPr="008C690E" w:rsidRDefault="009A5B81" w:rsidP="0000422D">
      <w:pPr>
        <w:pStyle w:val="BodyText"/>
        <w:spacing w:after="0"/>
        <w:ind w:left="720"/>
        <w:rPr>
          <w:rFonts w:cs="Arial"/>
          <w:i/>
          <w:iCs/>
          <w:color w:val="215E99"/>
          <w:lang w:val="en-PH"/>
        </w:rPr>
      </w:pPr>
    </w:p>
    <w:p w14:paraId="6A11161F" w14:textId="77777777" w:rsidR="009D024B" w:rsidRPr="008C690E" w:rsidRDefault="009D024B">
      <w:pPr>
        <w:pStyle w:val="BodyText"/>
        <w:rPr>
          <w:rFonts w:cs="Arial"/>
        </w:rPr>
      </w:pPr>
    </w:p>
    <w:p w14:paraId="2C8A8E09" w14:textId="77777777" w:rsidR="009A5B81" w:rsidRPr="008C690E" w:rsidRDefault="009A5B81">
      <w:pPr>
        <w:pStyle w:val="BodyText"/>
        <w:rPr>
          <w:rFonts w:cs="Arial"/>
        </w:rPr>
      </w:pPr>
    </w:p>
    <w:p w14:paraId="5A77C2E3" w14:textId="77777777"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3F7C7394"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14:paraId="246ACAEF" w14:textId="77777777" w:rsidR="009A5B81" w:rsidRPr="008C690E" w:rsidRDefault="009A5B81" w:rsidP="009A5B81">
      <w:pPr>
        <w:pStyle w:val="BodyText"/>
        <w:rPr>
          <w:rFonts w:cs="Arial"/>
        </w:rPr>
      </w:pPr>
    </w:p>
    <w:p w14:paraId="2FF80852" w14:textId="77777777"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14:paraId="5963EEEE" w14:textId="77777777" w:rsidR="009D024B" w:rsidRPr="008C690E" w:rsidRDefault="009D024B">
      <w:pPr>
        <w:pStyle w:val="BodyText"/>
        <w:rPr>
          <w:rFonts w:cs="Arial"/>
        </w:rPr>
      </w:pPr>
    </w:p>
    <w:p w14:paraId="69D202B1" w14:textId="77777777" w:rsidR="009D024B" w:rsidRPr="008C690E" w:rsidRDefault="009D024B">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38BE1F29" w14:textId="77777777"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70BE4015"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4DAD5DD0" w14:textId="77777777" w:rsidR="009D024B" w:rsidRPr="008C690E" w:rsidRDefault="009D024B">
      <w:pPr>
        <w:pStyle w:val="BodyText"/>
        <w:rPr>
          <w:rFonts w:cs="Arial"/>
          <w:i/>
          <w:iCs/>
          <w:color w:val="215E99"/>
        </w:rPr>
      </w:pPr>
    </w:p>
    <w:p w14:paraId="0EF4DBE4" w14:textId="77777777"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62A47FCF"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5BC81B10" w14:textId="77777777" w:rsidR="009D024B" w:rsidRPr="008C690E" w:rsidRDefault="009D024B">
      <w:pPr>
        <w:pStyle w:val="BodyText"/>
        <w:rPr>
          <w:rFonts w:cs="Arial"/>
        </w:rPr>
      </w:pPr>
    </w:p>
    <w:p w14:paraId="26C3201D" w14:textId="77777777"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26B3B035"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567BB985" w14:textId="77777777" w:rsidR="009D024B" w:rsidRPr="008C690E" w:rsidRDefault="009D024B">
      <w:pPr>
        <w:pStyle w:val="BodyText"/>
        <w:rPr>
          <w:rFonts w:cs="Arial"/>
        </w:rPr>
      </w:pPr>
    </w:p>
    <w:p w14:paraId="6388FC1B" w14:textId="77777777" w:rsidR="009D024B" w:rsidRPr="008C690E" w:rsidRDefault="009D024B">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193C7B04" w14:textId="77777777" w:rsidR="009D024B" w:rsidRPr="008C690E" w:rsidRDefault="009D024B">
      <w:pPr>
        <w:pStyle w:val="BodyText"/>
        <w:rPr>
          <w:rFonts w:cs="Arial"/>
        </w:rPr>
      </w:pPr>
    </w:p>
    <w:p w14:paraId="40480ED0" w14:textId="77777777" w:rsidR="00981877" w:rsidRPr="008C690E" w:rsidRDefault="00F83315" w:rsidP="00D66A9F">
      <w:pPr>
        <w:pStyle w:val="Heading3"/>
        <w:tabs>
          <w:tab w:val="clear" w:pos="360"/>
        </w:tabs>
        <w:rPr>
          <w:rFonts w:ascii="Arial" w:hAnsi="Arial" w:cs="Arial"/>
        </w:rPr>
      </w:pPr>
      <w:r>
        <w:rPr>
          <w:rFonts w:ascii="Arial" w:hAnsi="Arial" w:cs="Arial"/>
        </w:rPr>
        <w:t>Web Application</w:t>
      </w:r>
    </w:p>
    <w:p w14:paraId="276D0A8B" w14:textId="77777777" w:rsidR="002117AB" w:rsidRPr="002117AB" w:rsidRDefault="002117AB" w:rsidP="002117AB">
      <w:pPr>
        <w:pStyle w:val="Heading4"/>
        <w:rPr>
          <w:b/>
        </w:rPr>
      </w:pPr>
      <w:r>
        <w:rPr>
          <w:b/>
        </w:rPr>
        <w:t>1</w:t>
      </w:r>
      <w:r w:rsidRPr="002117AB">
        <w:rPr>
          <w:b/>
        </w:rPr>
        <w:t>.1 Multiple Payment Methods</w:t>
      </w:r>
    </w:p>
    <w:p w14:paraId="1D3A4D31" w14:textId="77777777" w:rsidR="002117AB" w:rsidRPr="002117AB" w:rsidRDefault="002117AB" w:rsidP="002117AB">
      <w:pPr>
        <w:pStyle w:val="Heading4"/>
        <w:numPr>
          <w:ilvl w:val="0"/>
          <w:numId w:val="20"/>
        </w:numPr>
        <w:rPr>
          <w:b/>
        </w:rPr>
      </w:pPr>
      <w:r>
        <w:t>Admins (owners) can manage and process payments through various secure methods such as credit/debit cards, bank transfers, PayPal, and Stripe, ensuring flexible payment options for renters.</w:t>
      </w:r>
    </w:p>
    <w:p w14:paraId="60B00A58" w14:textId="77777777" w:rsidR="002117AB" w:rsidRPr="002117AB" w:rsidRDefault="002117AB" w:rsidP="002117AB">
      <w:pPr>
        <w:pStyle w:val="Heading4"/>
        <w:rPr>
          <w:b/>
        </w:rPr>
      </w:pPr>
      <w:r>
        <w:rPr>
          <w:b/>
        </w:rPr>
        <w:t>1</w:t>
      </w:r>
      <w:r w:rsidRPr="002117AB">
        <w:rPr>
          <w:b/>
        </w:rPr>
        <w:t>.2 Detailed Payment History</w:t>
      </w:r>
    </w:p>
    <w:p w14:paraId="5C89BEFD" w14:textId="77777777" w:rsidR="002117AB" w:rsidRPr="002117AB" w:rsidRDefault="002117AB" w:rsidP="002117AB">
      <w:pPr>
        <w:pStyle w:val="BodyText"/>
        <w:numPr>
          <w:ilvl w:val="0"/>
          <w:numId w:val="19"/>
        </w:numPr>
      </w:pPr>
      <w:r w:rsidRPr="002117AB">
        <w:rPr>
          <w:rFonts w:cs="Arial"/>
          <w:i/>
          <w:iCs/>
          <w:sz w:val="24"/>
        </w:rPr>
        <w:t>Owners can access detailed financial reports, including past payment data and outstanding balances for each rental unit, making it easy to track payments and manage finances.</w:t>
      </w:r>
    </w:p>
    <w:p w14:paraId="2B70D4C4" w14:textId="77777777" w:rsidR="002117AB" w:rsidRPr="002117AB" w:rsidRDefault="002117AB" w:rsidP="002117AB">
      <w:pPr>
        <w:pStyle w:val="Heading4"/>
        <w:rPr>
          <w:b/>
        </w:rPr>
      </w:pPr>
      <w:r>
        <w:rPr>
          <w:b/>
        </w:rPr>
        <w:t>1</w:t>
      </w:r>
      <w:r w:rsidRPr="002117AB">
        <w:rPr>
          <w:b/>
        </w:rPr>
        <w:t xml:space="preserve">.3 </w:t>
      </w:r>
      <w:bookmarkStart w:id="18" w:name="_GoBack"/>
      <w:r w:rsidRPr="002117AB">
        <w:rPr>
          <w:b/>
        </w:rPr>
        <w:t>Payment Reports</w:t>
      </w:r>
    </w:p>
    <w:p w14:paraId="229F296A" w14:textId="77777777" w:rsidR="002117AB" w:rsidRPr="002117AB" w:rsidRDefault="002117AB" w:rsidP="002117AB">
      <w:pPr>
        <w:pStyle w:val="BodyText"/>
        <w:numPr>
          <w:ilvl w:val="0"/>
          <w:numId w:val="19"/>
        </w:numPr>
      </w:pPr>
      <w:r w:rsidRPr="002117AB">
        <w:rPr>
          <w:rFonts w:cs="Arial"/>
          <w:i/>
          <w:iCs/>
          <w:sz w:val="24"/>
        </w:rPr>
        <w:t>Admins can generate downloadable reports for rent payments and financial transactions, streamlining accounting and record-keeping, and ensuring accurate financial oversight for all rental properties.</w:t>
      </w:r>
    </w:p>
    <w:bookmarkEnd w:id="18"/>
    <w:p w14:paraId="4F04828D" w14:textId="77777777" w:rsidR="00F83315" w:rsidRDefault="00F83315">
      <w:pPr>
        <w:pStyle w:val="Heading3"/>
        <w:tabs>
          <w:tab w:val="clear" w:pos="360"/>
        </w:tabs>
        <w:rPr>
          <w:rFonts w:ascii="Arial" w:hAnsi="Arial" w:cs="Arial"/>
        </w:rPr>
      </w:pPr>
    </w:p>
    <w:p w14:paraId="7B113A27" w14:textId="77777777" w:rsidR="009D024B" w:rsidRPr="008C690E" w:rsidRDefault="00F83315">
      <w:pPr>
        <w:pStyle w:val="Heading3"/>
        <w:tabs>
          <w:tab w:val="clear" w:pos="360"/>
        </w:tabs>
        <w:rPr>
          <w:rFonts w:ascii="Arial" w:hAnsi="Arial" w:cs="Arial"/>
        </w:rPr>
      </w:pPr>
      <w:r>
        <w:rPr>
          <w:rFonts w:ascii="Arial" w:hAnsi="Arial" w:cs="Arial"/>
        </w:rPr>
        <w:t>Mobile Application</w:t>
      </w:r>
    </w:p>
    <w:p w14:paraId="5EF0EFB0" w14:textId="77777777" w:rsidR="002117AB" w:rsidRPr="002117AB" w:rsidRDefault="002117AB" w:rsidP="002117AB">
      <w:pPr>
        <w:pStyle w:val="Heading4"/>
        <w:rPr>
          <w:b/>
        </w:rPr>
      </w:pPr>
      <w:r w:rsidRPr="002117AB">
        <w:rPr>
          <w:b/>
        </w:rPr>
        <w:t>2.1 Login</w:t>
      </w:r>
    </w:p>
    <w:p w14:paraId="5C282726" w14:textId="77777777" w:rsidR="002117AB" w:rsidRDefault="002117AB" w:rsidP="002117AB">
      <w:pPr>
        <w:pStyle w:val="Heading4"/>
        <w:numPr>
          <w:ilvl w:val="0"/>
          <w:numId w:val="18"/>
        </w:numPr>
      </w:pPr>
      <w:r>
        <w:t>allows users to securely log in using their email, Gmail, or Facebook accounts.</w:t>
      </w:r>
    </w:p>
    <w:p w14:paraId="0B72D272" w14:textId="77777777" w:rsidR="002117AB" w:rsidRDefault="002117AB" w:rsidP="002117AB">
      <w:pPr>
        <w:pStyle w:val="Heading4"/>
      </w:pPr>
    </w:p>
    <w:p w14:paraId="4F0019A2" w14:textId="77777777" w:rsidR="002117AB" w:rsidRPr="002117AB" w:rsidRDefault="002117AB" w:rsidP="002117AB">
      <w:pPr>
        <w:pStyle w:val="Heading4"/>
        <w:rPr>
          <w:b/>
        </w:rPr>
      </w:pPr>
      <w:r w:rsidRPr="002117AB">
        <w:rPr>
          <w:b/>
        </w:rPr>
        <w:t>2.2 Dashboard Interface</w:t>
      </w:r>
    </w:p>
    <w:p w14:paraId="51E43ADC" w14:textId="77777777" w:rsidR="002117AB" w:rsidRPr="002117AB" w:rsidRDefault="002117AB" w:rsidP="002117AB">
      <w:pPr>
        <w:pStyle w:val="BodyText"/>
        <w:numPr>
          <w:ilvl w:val="0"/>
          <w:numId w:val="18"/>
        </w:numPr>
      </w:pPr>
      <w:r w:rsidRPr="002117AB">
        <w:rPr>
          <w:rFonts w:cs="Arial"/>
          <w:i/>
          <w:iCs/>
          <w:sz w:val="24"/>
        </w:rPr>
        <w:t>A user-friendly mobile dashboard for renters to track payment status, due dates, and view payment history, all in one convenient place, helping them stay organized and on top of their payments.</w:t>
      </w:r>
    </w:p>
    <w:p w14:paraId="3BB2F00D" w14:textId="77777777" w:rsidR="002117AB" w:rsidRPr="002117AB" w:rsidRDefault="002117AB" w:rsidP="002117AB">
      <w:pPr>
        <w:pStyle w:val="Heading4"/>
        <w:rPr>
          <w:b/>
        </w:rPr>
      </w:pPr>
      <w:r w:rsidRPr="002117AB">
        <w:rPr>
          <w:b/>
        </w:rPr>
        <w:t>2.3 Late Payment Reminders &amp; Notifications</w:t>
      </w:r>
    </w:p>
    <w:p w14:paraId="5AAFEC4D" w14:textId="77777777" w:rsidR="00F83315" w:rsidRPr="00F83315" w:rsidRDefault="002117AB" w:rsidP="002117AB">
      <w:pPr>
        <w:pStyle w:val="Heading4"/>
        <w:numPr>
          <w:ilvl w:val="0"/>
          <w:numId w:val="18"/>
        </w:numPr>
      </w:pPr>
      <w:r w:rsidRPr="002117AB">
        <w:t xml:space="preserve">Automated reminders for renters about upcoming due dates or overdue payments, along with notifications regarding late fee calculations based on the terms of their rental </w:t>
      </w:r>
      <w:proofErr w:type="gramStart"/>
      <w:r w:rsidRPr="002117AB">
        <w:t>agreements.</w:t>
      </w:r>
      <w:r w:rsidRPr="00E600CE">
        <w:t>.</w:t>
      </w:r>
      <w:proofErr w:type="gramEnd"/>
    </w:p>
    <w:p w14:paraId="2A092E0D" w14:textId="77777777"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14:paraId="3D3867AA" w14:textId="77777777" w:rsidR="0065435A" w:rsidRPr="008C690E" w:rsidRDefault="0065435A" w:rsidP="0065435A">
      <w:pPr>
        <w:pStyle w:val="BodyText"/>
        <w:rPr>
          <w:rFonts w:cs="Arial"/>
        </w:rPr>
      </w:pPr>
    </w:p>
    <w:p w14:paraId="37EDAE6A" w14:textId="77777777"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14:paraId="3448E130" w14:textId="77777777" w:rsidR="0065435A" w:rsidRPr="008C690E" w:rsidRDefault="0065435A" w:rsidP="0065435A">
      <w:pPr>
        <w:pStyle w:val="Heading5"/>
        <w:numPr>
          <w:ilvl w:val="0"/>
          <w:numId w:val="0"/>
        </w:numPr>
        <w:ind w:left="709"/>
        <w:rPr>
          <w:color w:val="215E99"/>
        </w:rPr>
      </w:pPr>
      <w:r w:rsidRPr="008C690E">
        <w:rPr>
          <w:color w:val="215E99"/>
        </w:rPr>
        <w:t>Details</w:t>
      </w:r>
    </w:p>
    <w:p w14:paraId="6AF3CF9E" w14:textId="77777777" w:rsidR="0065435A" w:rsidRPr="008C690E" w:rsidRDefault="0065435A" w:rsidP="0065435A">
      <w:pPr>
        <w:pStyle w:val="BodyText"/>
        <w:ind w:left="709"/>
        <w:rPr>
          <w:rFonts w:cs="Arial"/>
        </w:rPr>
      </w:pPr>
    </w:p>
    <w:p w14:paraId="2670D0CB" w14:textId="77777777"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t>Security</w:t>
      </w:r>
      <w:bookmarkEnd w:id="21"/>
    </w:p>
    <w:p w14:paraId="5106C0E7" w14:textId="77777777" w:rsidR="0065435A" w:rsidRPr="008C690E" w:rsidRDefault="0065435A" w:rsidP="0065435A">
      <w:pPr>
        <w:pStyle w:val="Heading5"/>
        <w:numPr>
          <w:ilvl w:val="0"/>
          <w:numId w:val="0"/>
        </w:numPr>
        <w:ind w:left="709"/>
        <w:rPr>
          <w:color w:val="215E99"/>
        </w:rPr>
      </w:pPr>
      <w:r w:rsidRPr="008C690E">
        <w:rPr>
          <w:color w:val="215E99"/>
        </w:rPr>
        <w:t>Details</w:t>
      </w:r>
    </w:p>
    <w:p w14:paraId="0B2350DD" w14:textId="77777777" w:rsidR="0065435A" w:rsidRPr="008C690E" w:rsidRDefault="0065435A" w:rsidP="0065435A">
      <w:pPr>
        <w:pStyle w:val="BodyText"/>
        <w:ind w:left="709"/>
        <w:rPr>
          <w:rFonts w:cs="Arial"/>
        </w:rPr>
      </w:pPr>
    </w:p>
    <w:p w14:paraId="64E1D3D3" w14:textId="77777777"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14:paraId="46881F91" w14:textId="77777777" w:rsidR="008C690E" w:rsidRPr="008C690E" w:rsidRDefault="008C690E" w:rsidP="008C690E">
      <w:pPr>
        <w:pStyle w:val="Heading5"/>
        <w:numPr>
          <w:ilvl w:val="0"/>
          <w:numId w:val="0"/>
        </w:numPr>
        <w:ind w:left="709"/>
        <w:rPr>
          <w:color w:val="215E99"/>
        </w:rPr>
      </w:pPr>
      <w:r w:rsidRPr="008C690E">
        <w:rPr>
          <w:color w:val="215E99"/>
        </w:rPr>
        <w:t>Details</w:t>
      </w:r>
    </w:p>
    <w:p w14:paraId="6F2FD650" w14:textId="77777777" w:rsidR="00CC655E" w:rsidRPr="008C690E" w:rsidRDefault="00CC655E">
      <w:pPr>
        <w:pStyle w:val="BodyText"/>
        <w:rPr>
          <w:rFonts w:cs="Arial"/>
        </w:rPr>
      </w:pPr>
    </w:p>
    <w:sectPr w:rsidR="00CC655E" w:rsidRPr="008C690E">
      <w:headerReference w:type="default" r:id="rId13"/>
      <w:footerReference w:type="even" r:id="rId14"/>
      <w:footerReference w:type="default" r:id="rId15"/>
      <w:headerReference w:type="first" r:id="rId16"/>
      <w:footerReference w:type="first" r:id="rId17"/>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D29F0" w14:textId="77777777" w:rsidR="00642F8B" w:rsidRDefault="00642F8B">
      <w:r>
        <w:separator/>
      </w:r>
    </w:p>
  </w:endnote>
  <w:endnote w:type="continuationSeparator" w:id="0">
    <w:p w14:paraId="494412DE" w14:textId="77777777" w:rsidR="00642F8B" w:rsidRDefault="0064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C7DFE" w14:textId="77777777"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AF2F95" w14:paraId="55C940C5" w14:textId="77777777">
      <w:tc>
        <w:tcPr>
          <w:tcW w:w="4985" w:type="dxa"/>
          <w:shd w:val="clear" w:color="auto" w:fill="auto"/>
        </w:tcPr>
        <w:p w14:paraId="757AA731" w14:textId="77777777" w:rsidR="009D024B" w:rsidRDefault="009D024B">
          <w:pPr>
            <w:pStyle w:val="FooterCopyright"/>
            <w:snapToGrid w:val="0"/>
          </w:pPr>
        </w:p>
      </w:tc>
      <w:tc>
        <w:tcPr>
          <w:tcW w:w="4987" w:type="dxa"/>
          <w:shd w:val="clear" w:color="auto" w:fill="auto"/>
        </w:tcPr>
        <w:p w14:paraId="7D6CE63A" w14:textId="77777777"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w14:paraId="24C6AF98" w14:textId="77777777"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E22E" w14:textId="77777777"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8458" w14:textId="77777777" w:rsidR="00642F8B" w:rsidRDefault="00642F8B">
      <w:r>
        <w:separator/>
      </w:r>
    </w:p>
  </w:footnote>
  <w:footnote w:type="continuationSeparator" w:id="0">
    <w:p w14:paraId="184767B5" w14:textId="77777777" w:rsidR="00642F8B" w:rsidRDefault="0064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AF2F95" w14:paraId="796B2820" w14:textId="77777777">
      <w:tc>
        <w:tcPr>
          <w:tcW w:w="5540" w:type="dxa"/>
          <w:shd w:val="clear" w:color="auto" w:fill="auto"/>
        </w:tcPr>
        <w:p w14:paraId="38DCBE68" w14:textId="55E858EF"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07815B2D" w14:textId="77777777" w:rsidR="009D024B" w:rsidRDefault="009D024B">
          <w:pPr>
            <w:pStyle w:val="HeaderSubtitle"/>
          </w:pPr>
          <w:r>
            <w:t>Insert Title Here</w:t>
          </w:r>
        </w:p>
      </w:tc>
      <w:tc>
        <w:tcPr>
          <w:tcW w:w="4431" w:type="dxa"/>
          <w:shd w:val="clear" w:color="auto" w:fill="auto"/>
        </w:tcPr>
        <w:p w14:paraId="08937417" w14:textId="77777777" w:rsidR="009D024B" w:rsidRDefault="009D024B">
          <w:pPr>
            <w:pStyle w:val="Headerright"/>
            <w:snapToGrid w:val="0"/>
          </w:pPr>
          <w:r>
            <w:t xml:space="preserve">Document Version: </w:t>
          </w:r>
          <w:proofErr w:type="spellStart"/>
          <w:r>
            <w:t>N.n</w:t>
          </w:r>
          <w:proofErr w:type="spellEnd"/>
        </w:p>
        <w:p w14:paraId="1BD94650" w14:textId="77777777" w:rsidR="009D024B" w:rsidRDefault="009D024B">
          <w:pPr>
            <w:pStyle w:val="Headerright"/>
          </w:pPr>
          <w:r>
            <w:t>Published Date: DD MMMM YYYY</w:t>
          </w:r>
        </w:p>
      </w:tc>
    </w:tr>
  </w:tbl>
  <w:p w14:paraId="1EEF5541" w14:textId="77777777"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D5E9" w14:textId="77777777"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53964"/>
    <w:multiLevelType w:val="hybridMultilevel"/>
    <w:tmpl w:val="45E4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D4E40"/>
    <w:multiLevelType w:val="hybridMultilevel"/>
    <w:tmpl w:val="3BDE1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A3C53"/>
    <w:multiLevelType w:val="hybridMultilevel"/>
    <w:tmpl w:val="ED7C67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5"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13262"/>
    <w:multiLevelType w:val="hybridMultilevel"/>
    <w:tmpl w:val="6B7CD0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66940565"/>
    <w:multiLevelType w:val="hybridMultilevel"/>
    <w:tmpl w:val="31ACF12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5"/>
  </w:num>
  <w:num w:numId="5">
    <w:abstractNumId w:val="8"/>
  </w:num>
  <w:num w:numId="6">
    <w:abstractNumId w:val="10"/>
  </w:num>
  <w:num w:numId="7">
    <w:abstractNumId w:val="9"/>
  </w:num>
  <w:num w:numId="8">
    <w:abstractNumId w:val="18"/>
  </w:num>
  <w:num w:numId="9">
    <w:abstractNumId w:val="5"/>
  </w:num>
  <w:num w:numId="10">
    <w:abstractNumId w:val="14"/>
  </w:num>
  <w:num w:numId="11">
    <w:abstractNumId w:val="3"/>
  </w:num>
  <w:num w:numId="12">
    <w:abstractNumId w:val="7"/>
  </w:num>
  <w:num w:numId="13">
    <w:abstractNumId w:val="12"/>
  </w:num>
  <w:num w:numId="14">
    <w:abstractNumId w:val="13"/>
  </w:num>
  <w:num w:numId="15">
    <w:abstractNumId w:val="19"/>
  </w:num>
  <w:num w:numId="16">
    <w:abstractNumId w:val="17"/>
  </w:num>
  <w:num w:numId="17">
    <w:abstractNumId w:val="4"/>
  </w:num>
  <w:num w:numId="18">
    <w:abstractNumId w:val="16"/>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95AA8"/>
    <w:rsid w:val="000F5AB5"/>
    <w:rsid w:val="001F013F"/>
    <w:rsid w:val="002117AB"/>
    <w:rsid w:val="00322F16"/>
    <w:rsid w:val="00627E99"/>
    <w:rsid w:val="00642F8B"/>
    <w:rsid w:val="0065435A"/>
    <w:rsid w:val="008A0A76"/>
    <w:rsid w:val="008C690E"/>
    <w:rsid w:val="00981877"/>
    <w:rsid w:val="009A5B81"/>
    <w:rsid w:val="009D024B"/>
    <w:rsid w:val="00AF2F95"/>
    <w:rsid w:val="00BF7C5B"/>
    <w:rsid w:val="00C0578C"/>
    <w:rsid w:val="00CC4B8F"/>
    <w:rsid w:val="00CC655E"/>
    <w:rsid w:val="00D66A9F"/>
    <w:rsid w:val="00DB3C06"/>
    <w:rsid w:val="00EE39FB"/>
    <w:rsid w:val="00F833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F64EC10"/>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paragraph" w:styleId="ListParagraph">
    <w:name w:val="List Paragraph"/>
    <w:basedOn w:val="Normal"/>
    <w:uiPriority w:val="34"/>
    <w:qFormat/>
    <w:rsid w:val="00F83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3281">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9345">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3.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4.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LAB23_USER ON WS36</dc:creator>
  <cp:keywords/>
  <cp:lastModifiedBy>LAB23_USER ON WS36</cp:lastModifiedBy>
  <cp:revision>5</cp:revision>
  <cp:lastPrinted>2025-01-24T06:42:00Z</cp:lastPrinted>
  <dcterms:created xsi:type="dcterms:W3CDTF">2025-01-24T06:40:00Z</dcterms:created>
  <dcterms:modified xsi:type="dcterms:W3CDTF">2025-01-24T06:44:00Z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