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extendedProperties" Target="docProps/app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8324" w14:textId="3B7EC57E" w:rsidR="00154674" w:rsidRPr="00E840DA" w:rsidRDefault="00516C2D" w:rsidP="00B8473C">
      <w:pPr>
        <w:pStyle w:val="papertitle"/>
        <w:spacing w:after="160"/>
        <w:rPr>
          <w:sz w:val="52"/>
          <w:szCs w:val="52"/>
        </w:rPr>
      </w:pPr>
      <w:r w:rsidRPr="00516C2D">
        <w:rPr>
          <w:szCs w:val="52"/>
        </w:rPr>
        <w:t>Payload-Aware Attack Knowledge Graph-Driven LLM Orchestration for Autonomous Penetration Testing: A Comparative Evaluation on DVWA</w:t>
      </w:r>
    </w:p>
    <w:tbl>
      <w:tblPr>
        <w:tblW w:w="0" w:type="auto"/>
        <w:tblLayout w:type="fixed"/>
        <w:tblLook w:val="04A0" w:firstRow="1" w:lastRow="0" w:firstColumn="1" w:lastColumn="0" w:noHBand="0" w:noVBand="1"/>
      </w:tblPr>
      <w:tblGrid>
        <w:gridCol w:w="5040"/>
        <w:gridCol w:w="5040"/>
      </w:tblGrid>
      <w:tr w:rsidR="00154674" w:rsidRPr="00692A85" w14:paraId="0FBF6F5F" w14:textId="77777777">
        <w:tc>
          <w:tcPr>
            <w:tcW w:w="5040" w:type="dxa"/>
          </w:tcPr>
          <w:p w14:paraId="0FFFAAFA" w14:textId="4257CC28" w:rsidR="00154674" w:rsidRPr="00692A85" w:rsidRDefault="00BA393B" w:rsidP="003C0B67">
            <w:pPr>
              <w:pStyle w:val="Author"/>
              <w:spacing w:before="0"/>
              <w:rPr>
                <w:sz w:val="18"/>
                <w:szCs w:val="18"/>
              </w:rPr>
            </w:pPr>
            <w:r w:rsidRPr="00692A85">
              <w:rPr>
                <w:sz w:val="18"/>
                <w:szCs w:val="18"/>
              </w:rPr>
              <w:t>Kevin Purnomo</w:t>
            </w:r>
            <w:r w:rsidR="00AA40E2">
              <w:rPr>
                <w:sz w:val="18"/>
                <w:szCs w:val="18"/>
              </w:rPr>
              <w:br/>
            </w:r>
            <w:r w:rsidRPr="00692A85">
              <w:rPr>
                <w:i/>
                <w:sz w:val="18"/>
                <w:szCs w:val="18"/>
              </w:rPr>
              <w:t>Computer Science Department</w:t>
            </w:r>
            <w:r w:rsidR="00AA40E2">
              <w:rPr>
                <w:i/>
                <w:sz w:val="18"/>
                <w:szCs w:val="18"/>
              </w:rPr>
              <w:br/>
            </w:r>
            <w:r w:rsidRPr="00692A85">
              <w:rPr>
                <w:i/>
                <w:sz w:val="18"/>
                <w:szCs w:val="18"/>
              </w:rPr>
              <w:t>BINUS Graduate Program</w:t>
            </w:r>
            <w:r w:rsidR="00AA40E2">
              <w:rPr>
                <w:i/>
                <w:sz w:val="18"/>
                <w:szCs w:val="18"/>
              </w:rPr>
              <w:br/>
            </w:r>
            <w:r w:rsidRPr="00692A85">
              <w:rPr>
                <w:i/>
                <w:sz w:val="18"/>
                <w:szCs w:val="18"/>
              </w:rPr>
              <w:t>Master of Computer Science</w:t>
            </w:r>
            <w:r w:rsidR="00AA40E2">
              <w:rPr>
                <w:i/>
                <w:sz w:val="18"/>
                <w:szCs w:val="18"/>
              </w:rPr>
              <w:br/>
            </w:r>
            <w:r w:rsidRPr="00692A85">
              <w:rPr>
                <w:i/>
                <w:sz w:val="18"/>
                <w:szCs w:val="18"/>
              </w:rPr>
              <w:t>Bina Nusantara University</w:t>
            </w:r>
            <w:r w:rsidR="00AA40E2">
              <w:rPr>
                <w:i/>
                <w:sz w:val="18"/>
                <w:szCs w:val="18"/>
              </w:rPr>
              <w:br/>
            </w:r>
            <w:r w:rsidRPr="00692A85">
              <w:rPr>
                <w:i/>
                <w:sz w:val="18"/>
                <w:szCs w:val="18"/>
              </w:rPr>
              <w:t>Jakarta Barat, Indonesia</w:t>
            </w:r>
            <w:r w:rsidR="00AA40E2">
              <w:rPr>
                <w:i/>
                <w:sz w:val="18"/>
                <w:szCs w:val="18"/>
              </w:rPr>
              <w:br/>
            </w:r>
            <w:r w:rsidRPr="00692A85">
              <w:rPr>
                <w:sz w:val="18"/>
                <w:szCs w:val="18"/>
              </w:rPr>
              <w:t>kevin.purnomo@binus.ac.id</w:t>
            </w:r>
          </w:p>
        </w:tc>
        <w:tc>
          <w:tcPr>
            <w:tcW w:w="5040" w:type="dxa"/>
          </w:tcPr>
          <w:p w14:paraId="3BA3A360" w14:textId="66DE3DF5" w:rsidR="00154674" w:rsidRPr="00692A85" w:rsidRDefault="00BA393B" w:rsidP="003C0B67">
            <w:pPr>
              <w:pStyle w:val="Author"/>
              <w:spacing w:before="0"/>
              <w:rPr>
                <w:sz w:val="18"/>
                <w:szCs w:val="18"/>
              </w:rPr>
            </w:pPr>
            <w:r w:rsidRPr="00692A85">
              <w:rPr>
                <w:sz w:val="18"/>
                <w:szCs w:val="18"/>
              </w:rPr>
              <w:t>Aditya Kurniawan</w:t>
            </w:r>
            <w:r w:rsidR="00D93000">
              <w:rPr>
                <w:sz w:val="18"/>
                <w:szCs w:val="18"/>
              </w:rPr>
              <w:br/>
            </w:r>
            <w:r w:rsidRPr="00692A85">
              <w:rPr>
                <w:i/>
                <w:sz w:val="18"/>
                <w:szCs w:val="18"/>
              </w:rPr>
              <w:t>Computer Science Department</w:t>
            </w:r>
            <w:r w:rsidR="00D93000">
              <w:rPr>
                <w:i/>
                <w:sz w:val="18"/>
                <w:szCs w:val="18"/>
              </w:rPr>
              <w:br/>
            </w:r>
            <w:r w:rsidRPr="00692A85">
              <w:rPr>
                <w:i/>
                <w:sz w:val="18"/>
                <w:szCs w:val="18"/>
              </w:rPr>
              <w:t>BINUS Graduate Program</w:t>
            </w:r>
            <w:r w:rsidR="00D93000">
              <w:rPr>
                <w:i/>
                <w:sz w:val="18"/>
                <w:szCs w:val="18"/>
              </w:rPr>
              <w:br/>
            </w:r>
            <w:r w:rsidRPr="00692A85">
              <w:rPr>
                <w:i/>
                <w:sz w:val="18"/>
                <w:szCs w:val="18"/>
              </w:rPr>
              <w:t>Doctor of Computer Science</w:t>
            </w:r>
            <w:r w:rsidR="00D93000">
              <w:rPr>
                <w:i/>
                <w:sz w:val="18"/>
                <w:szCs w:val="18"/>
              </w:rPr>
              <w:br/>
            </w:r>
            <w:r w:rsidRPr="00692A85">
              <w:rPr>
                <w:i/>
                <w:sz w:val="18"/>
                <w:szCs w:val="18"/>
              </w:rPr>
              <w:t>Bina Nusantara University</w:t>
            </w:r>
            <w:r w:rsidR="00D93000">
              <w:rPr>
                <w:i/>
                <w:sz w:val="18"/>
                <w:szCs w:val="18"/>
              </w:rPr>
              <w:br/>
            </w:r>
            <w:r w:rsidRPr="00692A85">
              <w:rPr>
                <w:i/>
                <w:sz w:val="18"/>
                <w:szCs w:val="18"/>
              </w:rPr>
              <w:t>Jakarta Barat, Indonesia</w:t>
            </w:r>
            <w:r w:rsidR="00D93000">
              <w:rPr>
                <w:i/>
                <w:sz w:val="18"/>
                <w:szCs w:val="18"/>
              </w:rPr>
              <w:br/>
            </w:r>
            <w:r w:rsidRPr="00692A85">
              <w:rPr>
                <w:sz w:val="18"/>
                <w:szCs w:val="18"/>
              </w:rPr>
              <w:t>adkurniawan@binus.edu</w:t>
            </w:r>
          </w:p>
        </w:tc>
      </w:tr>
    </w:tbl>
    <w:p w14:paraId="0486A383" w14:textId="77777777" w:rsidR="00154674" w:rsidRDefault="00154674">
      <w:pPr>
        <w:sectPr w:rsidR="00154674">
          <w:headerReference w:type="default" r:id="rId8"/>
          <w:footerReference w:type="default" r:id="rId9"/>
          <w:headerReference w:type="first" r:id="rId10"/>
          <w:footerReference w:type="first" r:id="rId11"/>
          <w:pgSz w:w="11906" w:h="16838"/>
          <w:pgMar w:top="1080" w:right="907" w:bottom="1440" w:left="907" w:header="720" w:footer="720" w:gutter="0"/>
          <w:cols w:space="360"/>
        </w:sectPr>
      </w:pPr>
    </w:p>
    <w:p w14:paraId="3C3B8938" w14:textId="310D5F38" w:rsidR="00154674" w:rsidRPr="00342383" w:rsidRDefault="00D06A84">
      <w:pPr>
        <w:pStyle w:val="Abstract"/>
      </w:pPr>
      <w:r>
        <w:t>Abstract</w:t>
      </w:r>
      <w:r w:rsidR="005A6262">
        <w:t>—</w:t>
      </w:r>
      <w:r>
        <w:t>Large language models can help plan penetration tests</w:t>
      </w:r>
      <w:r>
        <w:rPr>
          <w:color w:val="FF0000"/>
        </w:rPr>
        <w:t xml:space="preserve">, but their method choices </w:t>
      </w:r>
      <w:r>
        <w:t xml:space="preserve">and generated payloads </w:t>
      </w:r>
      <w:r>
        <w:rPr>
          <w:color w:val="FF0000"/>
        </w:rPr>
        <w:t>require evidence-based assessment</w:t>
      </w:r>
      <w:r>
        <w:t xml:space="preserve">. This study develops a framework that combines a static, payload-aware attack knowledge graph with state-based orchestration and fixed execution agents. The graph links methods to preconditions, seed payloads, permitted changes, and expected success signals. </w:t>
      </w:r>
      <w:r>
        <w:rPr>
          <w:color w:val="FF0000"/>
        </w:rPr>
        <w:t>The planned evaluation compares Linear and AKG-guided orchestration with hybrid payloads using two models on local DVWA 2.5. Three surfaces, three security levels</w:t>
      </w:r>
      <w:r>
        <w:t xml:space="preserve">, and </w:t>
      </w:r>
      <w:r>
        <w:rPr>
          <w:color w:val="FF0000"/>
        </w:rPr>
        <w:t>three repetitions yield 108 planned runs</w:t>
      </w:r>
      <w:r>
        <w:t xml:space="preserve">. The </w:t>
      </w:r>
      <w:r>
        <w:rPr>
          <w:color w:val="FF0000"/>
        </w:rPr>
        <w:t xml:space="preserve">central question is whether AKG guidance changes method-selection quality </w:t>
      </w:r>
      <w:r>
        <w:t xml:space="preserve">and </w:t>
      </w:r>
      <w:r>
        <w:rPr>
          <w:color w:val="FF0000"/>
        </w:rPr>
        <w:t>independently verified outcomes</w:t>
      </w:r>
      <w:r>
        <w:t xml:space="preserve">, and </w:t>
      </w:r>
      <w:r>
        <w:rPr>
          <w:color w:val="FF0000"/>
        </w:rPr>
        <w:t>how these differences vary across models and scenarios</w:t>
      </w:r>
      <w:r>
        <w:t xml:space="preserve">. </w:t>
      </w:r>
      <w:r>
        <w:rPr>
          <w:color w:val="FF0000"/>
        </w:rPr>
        <w:t>Payload provenance</w:t>
      </w:r>
      <w:r>
        <w:t xml:space="preserve">, </w:t>
      </w:r>
      <w:r>
        <w:rPr>
          <w:color w:val="FF0000"/>
        </w:rPr>
        <w:t>operational reliability</w:t>
      </w:r>
      <w:r>
        <w:t xml:space="preserve">, and </w:t>
      </w:r>
      <w:r>
        <w:rPr>
          <w:color w:val="FF0000"/>
        </w:rPr>
        <w:t>containment support interpretation</w:t>
      </w:r>
      <w:r>
        <w:t xml:space="preserve">. </w:t>
      </w:r>
      <w:r>
        <w:rPr>
          <w:color w:val="FF0000"/>
        </w:rPr>
        <w:t>[DRAFT: Primary-study artifacts and final human assessments are unavailable in the supplied files</w:t>
      </w:r>
      <w:r>
        <w:t xml:space="preserve">. </w:t>
      </w:r>
      <w:r>
        <w:rPr>
          <w:color w:val="FF0000"/>
        </w:rPr>
        <w:t>Result values and the empirical conclusion remain pending</w:t>
      </w:r>
      <w:r>
        <w:t>.</w:t>
      </w:r>
      <w:r>
        <w:rPr>
          <w:color w:val="FF0000"/>
        </w:rPr>
        <w:t>]</w:t>
      </w:r>
    </w:p>
    <w:p w14:paraId="530BFEC3" w14:textId="47FA3F4A" w:rsidR="00154674" w:rsidRDefault="00E7558B">
      <w:pPr>
        <w:pStyle w:val="Keywords"/>
        <w:ind w:firstLine="272"/>
      </w:pPr>
      <w:r>
        <w:t>Keywords</w:t>
      </w:r>
      <w:r w:rsidR="008447C7" w:rsidRPr="004D72B5">
        <w:t>—</w:t>
      </w:r>
      <w:r w:rsidR="00891271" w:rsidRPr="00891271">
        <w:t xml:space="preserve">autonomous penetration testing, large language models, attack knowledge graph, </w:t>
      </w:r>
      <w:r w:rsidR="005F3AB5">
        <w:t>DVWA</w:t>
      </w:r>
      <w:r w:rsidR="00891271" w:rsidRPr="00891271">
        <w:t>, evidence</w:t>
      </w:r>
      <w:r w:rsidR="00891271">
        <w:t>-</w:t>
      </w:r>
      <w:r w:rsidR="00891271" w:rsidRPr="00891271">
        <w:t>based evaluation</w:t>
      </w:r>
    </w:p>
    <w:p w14:paraId="0E395B61" w14:textId="306DBA38" w:rsidR="00154674" w:rsidRDefault="00BA393B">
      <w:pPr>
        <w:pStyle w:val="Heading1"/>
        <w:jc w:val="center"/>
      </w:pPr>
      <w:r>
        <w:t xml:space="preserve">I. </w:t>
      </w:r>
      <w:r w:rsidR="00291B93">
        <w:t>I</w:t>
      </w:r>
      <w:r w:rsidR="00A021A0">
        <w:t>ntroduction</w:t>
      </w:r>
    </w:p>
    <w:p w14:paraId="0072F321" w14:textId="24F9B68A" w:rsidR="00306B83" w:rsidRPr="00306B83" w:rsidRDefault="00306B83" w:rsidP="00B02EAF">
      <w:pPr>
        <w:spacing w:line="228" w:lineRule="auto"/>
        <w:ind w:firstLine="289"/>
        <w:rPr>
          <w:iCs/>
          <w:lang w:val="en-ID"/>
        </w:rPr>
      </w:pPr>
      <w:r w:rsidRPr="00306B83">
        <w:rPr>
          <w:iCs/>
          <w:lang w:val="en-ID"/>
        </w:rPr>
        <w:t xml:space="preserve">Penetration testing requires testers to understand application </w:t>
      </w:r>
      <w:proofErr w:type="spellStart"/>
      <w:r w:rsidRPr="00306B83">
        <w:rPr>
          <w:iCs/>
          <w:lang w:val="en-ID"/>
        </w:rPr>
        <w:t>behavior</w:t>
      </w:r>
      <w:proofErr w:type="spellEnd"/>
      <w:r w:rsidRPr="00306B83">
        <w:rPr>
          <w:iCs/>
          <w:lang w:val="en-ID"/>
        </w:rPr>
        <w:t xml:space="preserve">, choose appropriate tests and conduct them, while ensuring that collected proofs confirm vulnerability existence. An LLM can assist testers in connecting reconnaissance findings with the necessary tests for conducting penetration testing. For instance, </w:t>
      </w:r>
      <w:proofErr w:type="spellStart"/>
      <w:r w:rsidRPr="00306B83">
        <w:rPr>
          <w:iCs/>
          <w:lang w:val="en-ID"/>
        </w:rPr>
        <w:t>PentestGPT</w:t>
      </w:r>
      <w:proofErr w:type="spellEnd"/>
      <w:r>
        <w:rPr>
          <w:iCs/>
          <w:lang w:val="en-ID"/>
        </w:rPr>
        <w:t xml:space="preserve"> research shows the importance of using LLMs in penetration testing management in terms of interaction among three primary modules</w:t>
      </w:r>
      <w:r w:rsidR="00FE3138">
        <w:rPr>
          <w:iCs/>
          <w:color w:val="auto"/>
          <w:lang w:val="en-ID"/>
        </w:rPr>
        <w:t>, which are</w:t>
      </w:r>
      <w:r>
        <w:rPr>
          <w:iCs/>
          <w:color w:val="FF0000"/>
          <w:lang w:val="en-ID"/>
        </w:rPr>
        <w:t xml:space="preserve"> </w:t>
      </w:r>
      <w:r>
        <w:rPr>
          <w:iCs/>
          <w:lang w:val="en-ID"/>
        </w:rPr>
        <w:t xml:space="preserve">task processing, reasoning, and command generation </w:t>
      </w:r>
      <w:r w:rsidR="00FD22C3">
        <w:rPr>
          <w:iCs/>
          <w:lang w:val="en-ID"/>
        </w:rPr>
        <w:fldChar w:fldCharType="begin"/>
      </w:r>
      <w:r w:rsidR="00FD22C3">
        <w:rPr>
          <w:iCs/>
          <w:lang w:val="en-ID"/>
        </w:rPr>
        <w:instrText xml:space="preserve"> ADDIN ZOTERO_ITEM CSL_CITATION {"citationID":"GBNwnMrt","properties":{"unsorted":false,"formattedCitation":"[1]","plainCitation":"[1]","noteIndex":0},"citationItems":[{"id":18,"uris":["http://zotero.org/users/20449755/items/KLRUP2SB"],"itemData":{"id":18,"type":"paper-conference","event-title":"33rd USENIX Security Symposium (USENIX Security 24)","ISBN":"978-1-939133-44-1","language":"en","page":"847-864","source":"www.usenix.org","title":"PentestGPT: Evaluating and Harnessing Large Language Models for Automated Penetration Testing","title-short":"PentestGPT","URL":"https://www.usenix.org/conference/usenixsecurity24/presentation/deng","author":[{"family":"Deng","given":"Gelei"},{"family":"Liu","given":"Yi"},{"family":"Mayoral-Vilches","given":"Víctor"},{"family":"Liu","given":"Peng"},{"family":"Li","given":"Yuekang"},{"family":"Xu","given":"Yuan"},{"family":"Zhang","given":"Tianwei"},{"family":"Liu","given":"Yang"},{"family":"Pinzger","given":"Martin"},{"family":"Rass","given":"Stefan"}],"accessed":{"date-parts":[["2026",5,9]]},"issued":{"date-parts":[["2024"]]}}}],"schema":"https://github.com/citation-style-language/schema/raw/master/csl-citation.json"} </w:instrText>
      </w:r>
      <w:r w:rsidR="00FD22C3">
        <w:rPr>
          <w:iCs/>
          <w:lang w:val="en-ID"/>
        </w:rPr>
        <w:fldChar w:fldCharType="separate"/>
      </w:r>
      <w:r w:rsidR="00FD22C3" w:rsidRPr="00FD22C3">
        <w:t>[1]</w:t>
      </w:r>
      <w:r w:rsidR="00FD22C3">
        <w:rPr>
          <w:iCs/>
          <w:lang w:val="en-ID"/>
        </w:rPr>
        <w:fldChar w:fldCharType="end"/>
      </w:r>
      <w:r w:rsidRPr="00306B83">
        <w:rPr>
          <w:iCs/>
          <w:lang w:val="en-ID"/>
        </w:rPr>
        <w:t xml:space="preserve">. Studies of Happe &amp; Cito explore </w:t>
      </w:r>
      <w:r w:rsidR="00FE3138" w:rsidRPr="00306B83">
        <w:rPr>
          <w:iCs/>
          <w:lang w:val="en-ID"/>
        </w:rPr>
        <w:t>high-level</w:t>
      </w:r>
      <w:r w:rsidRPr="00306B83">
        <w:rPr>
          <w:iCs/>
          <w:lang w:val="en-ID"/>
        </w:rPr>
        <w:t xml:space="preserve"> planning and low-level penetration testing within a loop feedback connection between an LLM and SSH interfaces </w:t>
      </w:r>
      <w:r w:rsidR="00FD22C3">
        <w:rPr>
          <w:iCs/>
          <w:lang w:val="en-ID"/>
        </w:rPr>
        <w:fldChar w:fldCharType="begin"/>
      </w:r>
      <w:r w:rsidR="00FD22C3">
        <w:rPr>
          <w:iCs/>
          <w:lang w:val="en-ID"/>
        </w:rPr>
        <w:instrText xml:space="preserve"> ADDIN ZOTERO_ITEM CSL_CITATION {"citationID":"3juK8dHh","properties":{"unsorted":false,"formattedCitation":"[2]","plainCitation":"[2]","noteIndex":0},"citationItems":[{"id":109,"uris":["http://zotero.org/users/20449755/items/SESHBNYP"],"itemData":{"id":109,"type":"paper-conference","abstract":"The field of software security testing, more specifically penetration testing, requires high levels of expertise and involves many manual testing and analysis steps. This paper explores the potential use of large-language models, such as GPT3.5, to augment penetration testers with AI sparring partners. We explore two distinct use cases: high-level task planning for security testing assignments and low-level vulnerability hunting within a vulnerable virtual machine. For the latter, we implemented a closed-feedback loop between LLM-generated low-level actions with a vulnerable virtual machine (connected through SSH) and allowed the LLM to analyze the machine state for vulnerabilities and suggest concrete attack vectors which were automatically executed within the virtual machine. We discuss promising initial results, detail avenues for improvement, and close deliberating on the ethics of AI sparring partners.","collection-title":"ESEC/FSE 2023","container-title":"Proceedings of the 31st ACM Joint European Software Engineering Conference and Symposium on the Foundations of Software Engineering","DOI":"10.1145/3611643.3613083","ISBN":"979-8-4007-0327-0","page":"2082–2086","publisher":"Association for Computing Machinery","publisher-place":"New York, NY, USA","source":"ACM Digital Library","title":"Getting pwn’d by AI: Penetration Testing with Large Language Models","title-short":"Getting pwn’d by AI","URL":"https://dl.acm.org/doi/10.1145/3611643.3613083","author":[{"family":"Happe","given":"Andreas"},{"family":"Cito","given":"Jürgen"}],"accessed":{"date-parts":[["2026",5,11]]},"issued":{"date-parts":[["2023",11,30]]}}}],"schema":"https://github.com/citation-style-language/schema/raw/master/csl-citation.json"} </w:instrText>
      </w:r>
      <w:r w:rsidR="00FD22C3">
        <w:rPr>
          <w:iCs/>
          <w:lang w:val="en-ID"/>
        </w:rPr>
        <w:fldChar w:fldCharType="separate"/>
      </w:r>
      <w:r w:rsidR="00FD22C3" w:rsidRPr="00FD22C3">
        <w:t>[2]</w:t>
      </w:r>
      <w:r w:rsidR="00FD22C3">
        <w:rPr>
          <w:iCs/>
          <w:lang w:val="en-ID"/>
        </w:rPr>
        <w:fldChar w:fldCharType="end"/>
      </w:r>
      <w:r w:rsidRPr="00306B83">
        <w:rPr>
          <w:iCs/>
          <w:lang w:val="en-ID"/>
        </w:rPr>
        <w:t xml:space="preserve">. Survey research conducted by Jaffal et al. identifies LLM-enabled penetration testing's significance due to dual-use purposes for protecting and attacking platforms </w:t>
      </w:r>
      <w:r w:rsidR="007F20A9">
        <w:rPr>
          <w:iCs/>
          <w:lang w:val="en-ID"/>
        </w:rPr>
        <w:fldChar w:fldCharType="begin"/>
      </w:r>
      <w:r w:rsidR="007F20A9">
        <w:rPr>
          <w:iCs/>
          <w:lang w:val="en-ID"/>
        </w:rPr>
        <w:instrText xml:space="preserve"> ADDIN ZOTERO_ITEM CSL_CITATION {"citationID":"QT2TADDN","properties":{"unsorted":false,"formattedCitation":"[3]","plainCitation":"[3]","noteIndex":0},"citationItems":[{"id":38,"uris":["http://zotero.org/users/20449755/items/E8ZWJGYM"],"itemData":{"id":38,"type":"article-journal","abstract":"Large Language Models (LLMs) are transforming cybersecurity by enabling intelligent, adaptive, and automated approaches to threat detection, vulnerability assessment, and incident response. With their advanced language understanding and contextual reasoning, LLMs surpass traditional methods in tackling challenges across domains such as the Internet of Things (IoT), blockchain, and hardware security. This survey provides a comprehensive overview of LLM applications in cybersecurity, focusing on two core areas: (1) the integration of LLMs into key cybersecurity domains, and (2) the vulnerabilities of LLMs themselves, along with mitigation strategies. By synthesizing recent advancements and identifying key limitations, this work offers practical insights and strategic recommendations for leveraging LLMs to build secure, scalable, and future-ready cyber defense systems.","container-title":"AI","DOI":"10.3390/ai6090216","ISSN":"2673-2688","issue":"9","language":"en","license":"http://creativecommons.org/licenses/by/3.0/","page":"216","publisher":"Multidisciplinary Digital Publishing Institute","source":"www.mdpi.com","title":"Large Language Models in Cybersecurity: A Survey of Applications, Vulnerabilities, and Defense Techniques","title-short":"Large Language Models in Cybersecurity","volume":"6","author":[{"family":"Jaffal","given":"Niveen O."},{"family":"Alkhanafseh","given":"Mohammed"},{"family":"Mohaisen","given":"David"}],"issued":{"date-parts":[["2025",9]]}}}],"schema":"https://github.com/citation-style-language/schema/raw/master/csl-citation.json"} </w:instrText>
      </w:r>
      <w:r w:rsidR="007F20A9">
        <w:rPr>
          <w:iCs/>
          <w:lang w:val="en-ID"/>
        </w:rPr>
        <w:fldChar w:fldCharType="separate"/>
      </w:r>
      <w:r w:rsidR="007F20A9" w:rsidRPr="007F20A9">
        <w:t>[3]</w:t>
      </w:r>
      <w:r w:rsidR="007F20A9">
        <w:rPr>
          <w:iCs/>
          <w:lang w:val="en-ID"/>
        </w:rPr>
        <w:fldChar w:fldCharType="end"/>
      </w:r>
      <w:r w:rsidRPr="00306B83">
        <w:rPr>
          <w:iCs/>
          <w:lang w:val="en-ID"/>
        </w:rPr>
        <w:t xml:space="preserve">. Today, many threat actors apply LLMs to develop attack payloads for data exfiltration and other attacks </w:t>
      </w:r>
      <w:r w:rsidR="007F20A9">
        <w:rPr>
          <w:iCs/>
          <w:lang w:val="en-ID"/>
        </w:rPr>
        <w:fldChar w:fldCharType="begin"/>
      </w:r>
      <w:r w:rsidR="007F20A9">
        <w:rPr>
          <w:iCs/>
          <w:lang w:val="en-ID"/>
        </w:rPr>
        <w:instrText xml:space="preserve"> ADDIN ZOTERO_ITEM CSL_CITATION {"citationID":"Ieg5vB9i","properties":{"unsorted":false,"formattedCitation":"[3]","plainCitation":"[3]","noteIndex":0},"citationItems":[{"id":38,"uris":["http://zotero.org/users/20449755/items/E8ZWJGYM"],"itemData":{"id":38,"type":"article-journal","abstract":"Large Language Models (LLMs) are transforming cybersecurity by enabling intelligent, adaptive, and automated approaches to threat detection, vulnerability assessment, and incident response. With their advanced language understanding and contextual reasoning, LLMs surpass traditional methods in tackling challenges across domains such as the Internet of Things (IoT), blockchain, and hardware security. This survey provides a comprehensive overview of LLM applications in cybersecurity, focusing on two core areas: (1) the integration of LLMs into key cybersecurity domains, and (2) the vulnerabilities of LLMs themselves, along with mitigation strategies. By synthesizing recent advancements and identifying key limitations, this work offers practical insights and strategic recommendations for leveraging LLMs to build secure, scalable, and future-ready cyber defense systems.","container-title":"AI","DOI":"10.3390/ai6090216","ISSN":"2673-2688","issue":"9","language":"en","license":"http://creativecommons.org/licenses/by/3.0/","page":"216","publisher":"Multidisciplinary Digital Publishing Institute","source":"www.mdpi.com","title":"Large Language Models in Cybersecurity: A Survey of Applications, Vulnerabilities, and Defense Techniques","title-short":"Large Language Models in Cybersecurity","volume":"6","author":[{"family":"Jaffal","given":"Niveen O."},{"family":"Alkhanafseh","given":"Mohammed"},{"family":"Mohaisen","given":"David"}],"issued":{"date-parts":[["2025",9]]}}}],"schema":"https://github.com/citation-style-language/schema/raw/master/csl-citation.json"} </w:instrText>
      </w:r>
      <w:r w:rsidR="007F20A9">
        <w:rPr>
          <w:iCs/>
          <w:lang w:val="en-ID"/>
        </w:rPr>
        <w:fldChar w:fldCharType="separate"/>
      </w:r>
      <w:r w:rsidR="007F20A9" w:rsidRPr="007F20A9">
        <w:t>[3]</w:t>
      </w:r>
      <w:r w:rsidR="007F20A9">
        <w:rPr>
          <w:iCs/>
          <w:lang w:val="en-ID"/>
        </w:rPr>
        <w:fldChar w:fldCharType="end"/>
      </w:r>
      <w:r>
        <w:rPr>
          <w:iCs/>
          <w:lang w:val="en-ID"/>
        </w:rPr>
        <w:t xml:space="preserve">. This development suggests the need for research addressing penetration testing automation with the use of LLMs. </w:t>
      </w:r>
      <w:r w:rsidRPr="00386902">
        <w:rPr>
          <w:iCs/>
          <w:color w:val="auto"/>
          <w:lang w:val="en-ID"/>
        </w:rPr>
        <w:t xml:space="preserve">This </w:t>
      </w:r>
      <w:r w:rsidR="00D15B6E" w:rsidRPr="00386902">
        <w:rPr>
          <w:iCs/>
          <w:color w:val="auto"/>
          <w:lang w:val="en-ID"/>
        </w:rPr>
        <w:t xml:space="preserve">research main objective is to </w:t>
      </w:r>
      <w:r w:rsidRPr="00386902">
        <w:rPr>
          <w:iCs/>
          <w:color w:val="auto"/>
          <w:lang w:val="en-ID"/>
        </w:rPr>
        <w:t xml:space="preserve">evaluate whether a static, payload-aware </w:t>
      </w:r>
      <w:r w:rsidR="00DD5C4F" w:rsidRPr="00386902">
        <w:rPr>
          <w:iCs/>
          <w:color w:val="auto"/>
          <w:lang w:val="en-ID"/>
        </w:rPr>
        <w:t>Attack Knowledge Graph (AKG)</w:t>
      </w:r>
      <w:r w:rsidRPr="00386902">
        <w:rPr>
          <w:iCs/>
          <w:color w:val="auto"/>
          <w:lang w:val="en-ID"/>
        </w:rPr>
        <w:t xml:space="preserve"> </w:t>
      </w:r>
      <w:r w:rsidR="005464BF">
        <w:rPr>
          <w:iCs/>
          <w:color w:val="auto"/>
          <w:lang w:val="en-ID"/>
        </w:rPr>
        <w:t xml:space="preserve">could potentially </w:t>
      </w:r>
      <w:r w:rsidRPr="00386902">
        <w:rPr>
          <w:iCs/>
          <w:color w:val="auto"/>
          <w:lang w:val="en-ID"/>
        </w:rPr>
        <w:t>change</w:t>
      </w:r>
      <w:r w:rsidR="007122C4">
        <w:rPr>
          <w:iCs/>
          <w:color w:val="auto"/>
          <w:lang w:val="en-ID"/>
        </w:rPr>
        <w:t xml:space="preserve"> the exploit</w:t>
      </w:r>
      <w:r w:rsidRPr="00386902">
        <w:rPr>
          <w:iCs/>
          <w:color w:val="auto"/>
          <w:lang w:val="en-ID"/>
        </w:rPr>
        <w:t xml:space="preserve"> method-selection quality and outcomes under controlled DVWA conditions.</w:t>
      </w:r>
    </w:p>
    <w:p w14:paraId="07CA61F8" w14:textId="516ECF1D" w:rsidR="00F70191" w:rsidRPr="00306B83" w:rsidRDefault="00306B83" w:rsidP="00B02EAF">
      <w:pPr>
        <w:spacing w:line="228" w:lineRule="auto"/>
        <w:ind w:firstLine="289"/>
        <w:rPr>
          <w:iCs/>
          <w:lang w:val="en-ID"/>
        </w:rPr>
      </w:pPr>
      <w:r w:rsidRPr="00306B83">
        <w:rPr>
          <w:iCs/>
          <w:lang w:val="en-ID"/>
        </w:rPr>
        <w:t xml:space="preserve">Free-form reasoning performed by an LLM (reasoning without any prompts) does not provide sufficient foundations for making security assessments. Hallucinations create </w:t>
      </w:r>
      <w:r w:rsidRPr="00306B83">
        <w:rPr>
          <w:iCs/>
          <w:lang w:val="en-ID"/>
        </w:rPr>
        <w:t>inaccurate rationales that contain explanations without evidence or outputs that look legitimate but are factually wrong</w:t>
      </w:r>
      <w:r w:rsidR="007F20A9">
        <w:rPr>
          <w:iCs/>
          <w:lang w:val="en-ID"/>
        </w:rPr>
        <w:t xml:space="preserve"> </w:t>
      </w:r>
      <w:r w:rsidR="007F20A9">
        <w:rPr>
          <w:iCs/>
          <w:lang w:val="en-ID"/>
        </w:rPr>
        <w:fldChar w:fldCharType="begin"/>
      </w:r>
      <w:r w:rsidR="007F20A9">
        <w:rPr>
          <w:iCs/>
          <w:lang w:val="en-ID"/>
        </w:rPr>
        <w:instrText xml:space="preserve"> ADDIN ZOTERO_ITEM CSL_CITATION {"citationID":"F1tNQulT","properties":{"unsorted":false,"formattedCitation":"[4]","plainCitation":"[4]","noteIndex":0},"citationItems":[{"id":122,"uris":["http://zotero.org/users/20449755/items/277A8JQM"],"itemData":{"id":122,"type":"article-journal","abstract":"The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Systems","DOI":"10.1145/3703155","ISSN":"1046-8188","issue":"2","journalAbbreviation":"ACM Trans. Inf. Syst.","page":"42:1–42:55","source":"ACM Digital Library","title":"A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1,24]]}}}],"schema":"https://github.com/citation-style-language/schema/raw/master/csl-citation.json"} </w:instrText>
      </w:r>
      <w:r w:rsidR="007F20A9">
        <w:rPr>
          <w:iCs/>
          <w:lang w:val="en-ID"/>
        </w:rPr>
        <w:fldChar w:fldCharType="separate"/>
      </w:r>
      <w:r w:rsidR="007F20A9" w:rsidRPr="007F20A9">
        <w:t>[4]</w:t>
      </w:r>
      <w:r w:rsidR="007F20A9">
        <w:rPr>
          <w:iCs/>
          <w:lang w:val="en-ID"/>
        </w:rPr>
        <w:fldChar w:fldCharType="end"/>
      </w:r>
      <w:r w:rsidRPr="00306B83">
        <w:rPr>
          <w:iCs/>
          <w:lang w:val="en-ID"/>
        </w:rPr>
        <w:t xml:space="preserve">. Besides, LLMs suffer limitations concerning accurate detection and exploitation analyses </w:t>
      </w:r>
      <w:r w:rsidR="00796BDA">
        <w:rPr>
          <w:iCs/>
          <w:lang w:val="en-ID"/>
        </w:rPr>
        <w:fldChar w:fldCharType="begin"/>
      </w:r>
      <w:r w:rsidR="00796BDA">
        <w:rPr>
          <w:iCs/>
          <w:lang w:val="en-ID"/>
        </w:rPr>
        <w:instrText xml:space="preserve"> ADDIN ZOTERO_ITEM CSL_CITATION {"citationID":"YMhtRjmH","properties":{"unsorted":false,"formattedCitation":"[5]","plainCitation":"[5]","noteIndex":0},"citationItems":[{"id":111,"uris":["http://zotero.org/users/20449755/items/TEQN8XCQ"],"itemData":{"id":111,"type":"paper-conference","abstract":"Large Language Models (LLMs) have been suggested for use in automated vulnerability repair, but benchmarks showing they can consistently identify security-related bugs are lacking. We thus develop SecLLMHolmes, a fully automated evaluation framework that performs the most detailed investigation to date on whether LLMs can reliably identify and reason about security-related bugs. We construct a set of 228 code scenarios and analyze eight of the most capable LLMs across eight different investigative dimensions using our framework. Our evaluation shows LLMs provide non-deterministic responses, incorrect and unfaithful reasoning, and perform poorly in real-world scenarios. Most importantly, our findings reveal significant non-robustness in even the most advanced models like ‘PaLM2’ and ‘GPT-4’: by merely changing function or variable names, or by the addition of library functions in the source code, these models can yield incorrect answers in 26% and 17% of cases, respectively. These findings demonstrate that further LLM advances are needed before LLMs can be used as general purpose security assistants.","container-title":"2024 IEEE Symposium on Security and Privacy (SP)","DOI":"10.1109/SP54263.2024.00210","event-title":"2024 IEEE Symposium on Security and Privacy (SP)","ISSN":"2375-1207","note":"ISSN: 2375-1207","page":"862-880","source":"IEEE Xplore","title":"LLMs Cannot Reliably Identify and Reason About Security Vulnerabilities (Yet?): A Comprehensive Evaluation, Framework, and Benchmarks","title-short":"LLMs Cannot Reliably Identify and Reason About Security Vulnerabilities (Yet?","URL":"https://ieeexplore.ieee.org/document/10646663","author":[{"family":"Ullah","given":"Saad"},{"family":"Han","given":"Mingji"},{"family":"Pujar","given":"Saurabh"},{"family":"Pearce","given":"Hammond"},{"family":"Coskun","given":"Ayse"},{"family":"Stringhini","given":"Gianluca"}],"accessed":{"date-parts":[["2026",5,12]]},"issued":{"date-parts":[["2024",5]]}}}],"schema":"https://github.com/citation-style-language/schema/raw/master/csl-citation.json"} </w:instrText>
      </w:r>
      <w:r w:rsidR="00796BDA">
        <w:rPr>
          <w:iCs/>
          <w:lang w:val="en-ID"/>
        </w:rPr>
        <w:fldChar w:fldCharType="separate"/>
      </w:r>
      <w:r w:rsidR="00796BDA" w:rsidRPr="00796BDA">
        <w:t>[5]</w:t>
      </w:r>
      <w:r w:rsidR="00796BDA">
        <w:rPr>
          <w:iCs/>
          <w:lang w:val="en-ID"/>
        </w:rPr>
        <w:fldChar w:fldCharType="end"/>
      </w:r>
      <w:r w:rsidRPr="00306B83">
        <w:rPr>
          <w:iCs/>
          <w:lang w:val="en-ID"/>
        </w:rPr>
        <w:t>. While answers may adhere to valid formats, it cannot guarantee relevance to test goals, allowed test range, and efficiency. Therefore, assessments should distinguish between methodology appropriateness, payload legitimacy, vulnerability exploitation verification, and usage of findings in further penetration testing workflows.</w:t>
      </w:r>
    </w:p>
    <w:p w14:paraId="10E258CE" w14:textId="15D1EC03" w:rsidR="00DB6548" w:rsidRPr="00DB6548" w:rsidRDefault="00DB6548" w:rsidP="00B02EAF">
      <w:pPr>
        <w:spacing w:line="228" w:lineRule="auto"/>
        <w:ind w:firstLine="289"/>
        <w:rPr>
          <w:iCs/>
        </w:rPr>
      </w:pPr>
      <w:r w:rsidRPr="00DB6548">
        <w:rPr>
          <w:iCs/>
        </w:rPr>
        <w:t xml:space="preserve">This research analyzes the implementation of Attack Knowledge Graph (AKG) idea which directly incorporates the connections between entities and conditions </w:t>
      </w:r>
      <w:r w:rsidR="00796BDA">
        <w:rPr>
          <w:iCs/>
        </w:rPr>
        <w:fldChar w:fldCharType="begin"/>
      </w:r>
      <w:r w:rsidR="00796BDA">
        <w:rPr>
          <w:iCs/>
        </w:rPr>
        <w:instrText xml:space="preserve"> ADDIN ZOTERO_ITEM CSL_CITATION {"citationID":"kJXWbPeJ","properties":{"unsorted":false,"formattedCitation":"[6]","plainCitation":"[6]","noteIndex":0},"citationItems":[{"id":60,"uris":["http://zotero.org/users/20449755/items/3DWB5ZZC"],"itemData":{"id":60,"type":"article-journal","abstract":"Human knowledge provides a formal understanding of the world. Knowledge graphs that represent structural relations between entities have become an increasingly popular research direction toward cognition and human-level intelligence. In this survey, we provide a comprehensive review of the knowledge graph covering overall research topics about: 1) knowledge graph representation learning; 2) knowledge acquisition and completion; 3) temporal knowledge graph; and 4) knowledge-aware applications and summarize recent breakthroughs and perspective directions to facilitate future research. We propose a full-view categorization and new taxonomies on these topics. Knowledge graph embedding is organized from four aspects of representation space, scoring function, encoding models, and auxiliary information. For knowledge acquisition, especially knowledge graph completion, embedding methods, path inference, and logical rule reasoning are reviewed. We further explore several emerging topics, including metarelational learning, commonsense reasoning, and temporal knowledge graphs. To facilitate future research on knowledge graphs, we also provide a curated collection of data sets and open-source libraries on different tasks. In the end, we have a thorough outlook on several promising research directions.","container-title":"IEEE Transactions on Neural Networks and Learning Systems","DOI":"10.1109/TNNLS.2021.3070843","ISSN":"2162-2388","issue":"2","page":"494-514","source":"IEEE Xplore","title":"A Survey on Knowledge Graphs: Representation, Acquisition, and Applications","title-short":"A Survey on Knowledge Graphs","volume":"33","author":[{"family":"Ji","given":"Shaoxiong"},{"family":"Pan","given":"Shirui"},{"family":"Cambria","given":"Erik"},{"family":"Marttinen","given":"Pekka"},{"family":"Yu","given":"Philip S."}],"issued":{"date-parts":[["2022",2]]}}}],"schema":"https://github.com/citation-style-language/schema/raw/master/csl-citation.json"} </w:instrText>
      </w:r>
      <w:r w:rsidR="00796BDA">
        <w:rPr>
          <w:iCs/>
        </w:rPr>
        <w:fldChar w:fldCharType="separate"/>
      </w:r>
      <w:r w:rsidR="00796BDA" w:rsidRPr="00796BDA">
        <w:t>[6]</w:t>
      </w:r>
      <w:r w:rsidR="00796BDA">
        <w:rPr>
          <w:iCs/>
        </w:rPr>
        <w:fldChar w:fldCharType="end"/>
      </w:r>
      <w:r w:rsidRPr="00DB6548">
        <w:rPr>
          <w:iCs/>
        </w:rPr>
        <w:t xml:space="preserve">. Specifically, in cybersecurity, this graphical representation enables structured and controlled analysis </w:t>
      </w:r>
      <w:r w:rsidR="00796BDA">
        <w:rPr>
          <w:iCs/>
        </w:rPr>
        <w:fldChar w:fldCharType="begin"/>
      </w:r>
      <w:r w:rsidR="00796BDA">
        <w:rPr>
          <w:iCs/>
        </w:rPr>
        <w:instrText xml:space="preserve"> ADDIN ZOTERO_ITEM CSL_CITATION {"citationID":"iMaQ5s0D","properties":{"unsorted":false,"formattedCitation":"[7]","plainCitation":"[7]","noteIndex":0},"citationItems":[{"id":65,"uris":["http://zotero.org/users/20449755/items/CNBPE352"],"itemData":{"id":65,"type":"article-journal","abstract":"Cybersecurity knowledge graphs, which represent cyber-knowledge with a graph-based data model, provide holistic approaches for processing massive volumes of complex cybersecurity data derived from diverse sources. They can assist security analysts to obtain cyberthreat intelligence, achieve a high level of cyber-situational awareness, discover new cyber-knowledge, visualize networks, data flow, and attack paths, and understand data correlations by aggregating and fusing data. This paper reviews the most prominent graph-based data models used in this domain, along with knowledge organization systems that define concepts and properties utilized in formal cyber-knowledge representation for both background knowledge and specific expert knowledge about an actual system or attack. It is also discussed how cybersecurity knowledge graphs enable machine learning and facilitate automated reasoning over cyber-knowledge.","container-title":"Knowledge and Information Systems","DOI":"10.1007/s10115-023-01860-3","ISSN":"0219-3116","issue":"9","journalAbbreviation":"Knowl Inf Syst","language":"en","page":"3511-3531","source":"Springer Link","title":"Cybersecurity knowledge graphs","volume":"65","author":[{"family":"Sikos","given":"Leslie F."}],"issued":{"date-parts":[["2023",9,1]]}}}],"schema":"https://github.com/citation-style-language/schema/raw/master/csl-citation.json"} </w:instrText>
      </w:r>
      <w:r w:rsidR="00796BDA">
        <w:rPr>
          <w:iCs/>
        </w:rPr>
        <w:fldChar w:fldCharType="separate"/>
      </w:r>
      <w:r w:rsidR="00796BDA" w:rsidRPr="00796BDA">
        <w:t>[7]</w:t>
      </w:r>
      <w:r w:rsidR="00796BDA">
        <w:rPr>
          <w:iCs/>
        </w:rPr>
        <w:fldChar w:fldCharType="end"/>
      </w:r>
      <w:r w:rsidRPr="00DB6548">
        <w:rPr>
          <w:iCs/>
        </w:rPr>
        <w:t xml:space="preserve">. Attack Knowledge Graph represents the relationship between attack steps and desired goals where nodes/vertices are the target state or exploit status and edges are actions or any signs of success of attacks </w:t>
      </w:r>
      <w:r w:rsidR="00A6285C">
        <w:rPr>
          <w:iCs/>
        </w:rPr>
        <w:fldChar w:fldCharType="begin"/>
      </w:r>
      <w:r w:rsidR="00A6285C">
        <w:rPr>
          <w:iCs/>
        </w:rPr>
        <w:instrText xml:space="preserve"> ADDIN ZOTERO_ITEM CSL_CITATION {"citationID":"BpjQacrd","properties":{"unsorted":false,"formattedCitation":"[8]","plainCitation":"[8]","noteIndex":0},"citationItems":[{"id":63,"uris":["http://zotero.org/users/20449755/items/PPU9NPJW"],"itemData":{"id":63,"type":"paper-conference","abstract":"An integral part of modeling the global view of network security is constructing attack graphs. Manual attack graph construction is tedious, error-prone, and impractical for attack graphs larger than a hundred nodes. In this paper we present an automated technique for generating and analyzing attack graphs. We base our technique on symbolic model checking algorithms, letting us construct attack graphs automatically and efficiently. We also describe two analyses to help decide which attacks would be most cost-effective to guard against. We implemented our technique in a tool suite and tested it on a small network example, which includes models of a firewall and an intrusion detection system.","container-title":"Proceedings 2002 IEEE Symposium on Security and Privacy","DOI":"10.1109/SECPRI.2002.1004377","event-title":"2002 IEEE Symposium on Security and Privacy","ISSN":"1081-6011","note":"ISSN: 1081-6011","page":"273-284","source":"IEEE Xplore","title":"Automated generation and analysis of attack graphs","URL":"https://ieeexplore.ieee.org/document/1004377","author":[{"family":"Sheyner","given":"O."},{"family":"Haines","given":"J."},{"family":"Jha","given":"S."},{"family":"Lippmann","given":"R."},{"family":"Wing","given":"J.M."}],"accessed":{"date-parts":[["2026",5,10]]},"issued":{"date-parts":[["2002",5]]}}}],"schema":"https://github.com/citation-style-language/schema/raw/master/csl-citation.json"} </w:instrText>
      </w:r>
      <w:r w:rsidR="00A6285C">
        <w:rPr>
          <w:iCs/>
        </w:rPr>
        <w:fldChar w:fldCharType="separate"/>
      </w:r>
      <w:r w:rsidR="00A6285C" w:rsidRPr="00A6285C">
        <w:t>[8]</w:t>
      </w:r>
      <w:r w:rsidR="00A6285C">
        <w:rPr>
          <w:iCs/>
        </w:rPr>
        <w:fldChar w:fldCharType="end"/>
      </w:r>
      <w:r>
        <w:rPr>
          <w:iCs/>
        </w:rPr>
        <w:t xml:space="preserve">. In the current research, such ideas are used via the static, payload-aware Attack Knowledge Graph (AKG) </w:t>
      </w:r>
      <w:proofErr w:type="gramStart"/>
      <w:r w:rsidR="00693DDC">
        <w:rPr>
          <w:iCs/>
        </w:rPr>
        <w:t>in order to</w:t>
      </w:r>
      <w:proofErr w:type="gramEnd"/>
      <w:r w:rsidR="00693DDC">
        <w:rPr>
          <w:iCs/>
        </w:rPr>
        <w:t xml:space="preserve"> </w:t>
      </w:r>
      <w:r w:rsidRPr="00693DDC">
        <w:rPr>
          <w:iCs/>
          <w:color w:val="auto"/>
        </w:rPr>
        <w:t xml:space="preserve">examine how structured guidance affects large language model (LLM) decisions during </w:t>
      </w:r>
      <w:r>
        <w:rPr>
          <w:iCs/>
        </w:rPr>
        <w:t xml:space="preserve">penetration testing. The AKG connects pre-set methods with prerequisites, seed payloads (payloads used and modified by the LLM), permissible mutations (modifications of payloads allowed by the system), predicted success indicators, and potential transitions between attack domains (exploit chains). </w:t>
      </w:r>
      <w:proofErr w:type="gramStart"/>
      <w:r w:rsidR="00D15B6E">
        <w:rPr>
          <w:iCs/>
        </w:rPr>
        <w:t>All</w:t>
      </w:r>
      <w:r>
        <w:rPr>
          <w:iCs/>
        </w:rPr>
        <w:t xml:space="preserve"> </w:t>
      </w:r>
      <w:r w:rsidR="00D15B6E">
        <w:rPr>
          <w:iCs/>
        </w:rPr>
        <w:t>of</w:t>
      </w:r>
      <w:proofErr w:type="gramEnd"/>
      <w:r w:rsidR="00D15B6E">
        <w:rPr>
          <w:iCs/>
        </w:rPr>
        <w:t xml:space="preserve"> </w:t>
      </w:r>
      <w:r>
        <w:rPr>
          <w:iCs/>
        </w:rPr>
        <w:t>these elements are predefined and validated before the main experiment, and the LLM cannot create additional nodes/edges during the runtime.</w:t>
      </w:r>
    </w:p>
    <w:p w14:paraId="7B320008" w14:textId="4C985DD5" w:rsidR="00154674" w:rsidRPr="00680C7A" w:rsidRDefault="00680C7A" w:rsidP="00680C7A">
      <w:pPr>
        <w:spacing w:line="228" w:lineRule="auto"/>
        <w:ind w:firstLine="289"/>
        <w:rPr>
          <w:color w:val="auto"/>
          <w:lang w:val="en-ID"/>
        </w:rPr>
      </w:pPr>
      <w:r w:rsidRPr="00680C7A">
        <w:rPr>
          <w:color w:val="auto"/>
          <w:lang w:val="en-ID"/>
        </w:rPr>
        <w:t>This research examines the following research questions: (1) What is the difference between the quality of selection and the independently verified results of Linear and AKG-based orchestration in similar circumstances? (2) In what way do these differences manifest themselves in each of the models and in the examined scenarios? Attribution of payloads to sources helps to understand the connection between selection and results. Validation, reliability, and containment support the findings. The findings are limited to the DVWA examined.</w:t>
      </w:r>
    </w:p>
    <w:p w14:paraId="48383EB9" w14:textId="402B2C6C" w:rsidR="00154674" w:rsidRDefault="00BA393B">
      <w:pPr>
        <w:pStyle w:val="Heading1"/>
        <w:jc w:val="center"/>
      </w:pPr>
      <w:r>
        <w:t xml:space="preserve">II. </w:t>
      </w:r>
      <w:r w:rsidR="009C357C">
        <w:t xml:space="preserve">Related </w:t>
      </w:r>
      <w:r w:rsidR="001E07A3">
        <w:t>Work</w:t>
      </w:r>
    </w:p>
    <w:p w14:paraId="30CB16F3" w14:textId="0CE04DBE" w:rsidR="00154674" w:rsidRPr="00DB6548" w:rsidRDefault="00BA393B">
      <w:pPr>
        <w:pStyle w:val="Heading2"/>
      </w:pPr>
      <w:r w:rsidRPr="00DB6548">
        <w:t>A.</w:t>
      </w:r>
      <w:r>
        <w:tab/>
      </w:r>
      <w:r w:rsidR="00F12111" w:rsidRPr="00DB6548">
        <w:t>Structured and Agent-Based Penetration Testing</w:t>
      </w:r>
    </w:p>
    <w:p w14:paraId="79FFCA85" w14:textId="1B61C6F6" w:rsidR="00C86DA3" w:rsidRPr="00C86DA3" w:rsidRDefault="00C86DA3" w:rsidP="00A469D3">
      <w:pPr>
        <w:spacing w:line="228" w:lineRule="auto"/>
        <w:ind w:firstLine="289"/>
        <w:rPr>
          <w:lang w:val="en-ID"/>
        </w:rPr>
      </w:pPr>
      <w:proofErr w:type="spellStart"/>
      <w:r w:rsidRPr="00C86DA3">
        <w:rPr>
          <w:lang w:val="en-ID"/>
        </w:rPr>
        <w:t>PentestGPT</w:t>
      </w:r>
      <w:proofErr w:type="spellEnd"/>
      <w:r w:rsidRPr="00C86DA3">
        <w:rPr>
          <w:lang w:val="en-ID"/>
        </w:rPr>
        <w:t xml:space="preserve"> divides test cases into subtasks to avoid context losses and applies a penetration-testing task tree </w:t>
      </w:r>
      <w:r w:rsidR="007E1836">
        <w:rPr>
          <w:lang w:val="en-ID"/>
        </w:rPr>
        <w:fldChar w:fldCharType="begin"/>
      </w:r>
      <w:r w:rsidR="007E1836">
        <w:rPr>
          <w:lang w:val="en-ID"/>
        </w:rPr>
        <w:instrText xml:space="preserve"> ADDIN ZOTERO_ITEM CSL_CITATION {"citationID":"HrwnA1YW","properties":{"unsorted":false,"formattedCitation":"[1]","plainCitation":"[1]","noteIndex":0},"citationItems":[{"id":18,"uris":["http://zotero.org/users/20449755/items/KLRUP2SB"],"itemData":{"id":18,"type":"paper-conference","event-title":"33rd USENIX Security Symposium (USENIX Security 24)","ISBN":"978-1-939133-44-1","language":"en","page":"847-864","source":"www.usenix.org","title":"PentestGPT: Evaluating and Harnessing Large Language Models for Automated Penetration Testing","title-short":"PentestGPT","URL":"https://www.usenix.org/conference/usenixsecurity24/presentation/deng","author":[{"family":"Deng","given":"Gelei"},{"family":"Liu","given":"Yi"},{"family":"Mayoral-Vilches","given":"Víctor"},{"family":"Liu","given":"Peng"},{"family":"Li","given":"Yuekang"},{"family":"Xu","given":"Yuan"},{"family":"Zhang","given":"Tianwei"},{"family":"Liu","given":"Yang"},{"family":"Pinzger","given":"Martin"},{"family":"Rass","given":"Stefan"}],"accessed":{"date-parts":[["2026",5,9]]},"issued":{"date-parts":[["2024"]]}}}],"schema":"https://github.com/citation-style-language/schema/raw/master/csl-citation.json"} </w:instrText>
      </w:r>
      <w:r w:rsidR="007E1836">
        <w:rPr>
          <w:lang w:val="en-ID"/>
        </w:rPr>
        <w:fldChar w:fldCharType="separate"/>
      </w:r>
      <w:r w:rsidR="007E1836" w:rsidRPr="007E1836">
        <w:t>[1]</w:t>
      </w:r>
      <w:r w:rsidR="007E1836">
        <w:rPr>
          <w:lang w:val="en-ID"/>
        </w:rPr>
        <w:fldChar w:fldCharType="end"/>
      </w:r>
      <w:r w:rsidRPr="00C86DA3">
        <w:rPr>
          <w:lang w:val="en-ID"/>
        </w:rPr>
        <w:t xml:space="preserve">. </w:t>
      </w:r>
      <w:proofErr w:type="spellStart"/>
      <w:r w:rsidRPr="00C86DA3">
        <w:rPr>
          <w:lang w:val="en-ID"/>
        </w:rPr>
        <w:t>PentestAgent</w:t>
      </w:r>
      <w:proofErr w:type="spellEnd"/>
      <w:r w:rsidRPr="00C86DA3">
        <w:rPr>
          <w:lang w:val="en-ID"/>
        </w:rPr>
        <w:t xml:space="preserve"> performs multi-agent collaboration and retrieval-augmented knowledge in the process of information </w:t>
      </w:r>
      <w:r w:rsidRPr="00C86DA3">
        <w:rPr>
          <w:lang w:val="en-ID"/>
        </w:rPr>
        <w:lastRenderedPageBreak/>
        <w:t xml:space="preserve">gathering, vulnerability analysis, and exploitation </w:t>
      </w:r>
      <w:r w:rsidR="007E1836">
        <w:rPr>
          <w:lang w:val="en-ID"/>
        </w:rPr>
        <w:fldChar w:fldCharType="begin"/>
      </w:r>
      <w:r w:rsidR="007E1836">
        <w:rPr>
          <w:lang w:val="en-ID"/>
        </w:rPr>
        <w:instrText xml:space="preserve"> ADDIN ZOTERO_ITEM CSL_CITATION {"citationID":"lOgWrstq","properties":{"unsorted":false,"formattedCitation":"[9]","plainCitation":"[9]","noteIndex":0},"citationItems":[{"id":46,"uris":["http://zotero.org/users/20449755/items/BE6LF3WY"],"itemData":{"id":46,"type":"paper-conference","abstract":"Penetration testing is a critical technique for identifying security vulnerabilities, traditionally performed manually by skilled security specialists. This complex process involves gathering information about the target system, identifying entry points, exploiting the system, and reporting findings. Despite its effectiveness, manual penetration testing is time-consuming and expensive, often requiring significant expertise and resources that many organizations cannot afford. While automated penetration testing methods have been proposed, they often fall short in real-world applications due to limitations in flexibility, adaptability, and implementation.Recent advancements in large language models offer new opportunities for enhancing penetration testing through increased intelligence and automation. However, current LLM-based approaches still face significant challenges, including limited penetration testing knowledge and a lack of comprehensive automation capabilities. To address these gaps, we propose PentestAgent, a novel LLM-based automated penetration testing framework that leverages the power of LLMs and various LLM-based techniques like retrieval augmented generation to enhance penetration testing knowledge and automate various tasks. Our framework leverages multi-agent collaboration to automate intelligence gathering, vulnerability analysis, and exploitation stages, reducing manual intervention. We evaluate PentestAgent using a comprehensive benchmark, demonstrating superior performance in task completion and overall efficiency.","collection-title":"ASIA CCS '25","container-title":"Proceedings of the 20th ACM Asia Conference on Computer and Communications Security","DOI":"10.1145/3708821.3733882","ISBN":"979-8-4007-1410-8","page":"375–391","publisher":"Association for Computing Machinery","publisher-place":"New York, NY, USA","source":"ACM Digital Library","title":"PentestAgent: Incorporating LLM Agents to Automated Penetration Testing","title-short":"PentestAgent","URL":"https://dl.acm.org/doi/10.1145/3708821.3733882","author":[{"family":"Shen","given":"Xiangmin"},{"family":"Wang","given":"Lingzhi"},{"family":"Li","given":"Zhenyuan"},{"family":"Chen","given":"Yan"},{"family":"Zhao","given":"Wencheng"},{"family":"Sun","given":"Dawei"},{"family":"Wang","given":"Jiashui"},{"family":"Ruan","given":"Wei"}],"accessed":{"date-parts":[["2026",5,8]]},"issued":{"date-parts":[["2025",8,24]]}}}],"schema":"https://github.com/citation-style-language/schema/raw/master/csl-citation.json"} </w:instrText>
      </w:r>
      <w:r w:rsidR="007E1836">
        <w:rPr>
          <w:lang w:val="en-ID"/>
        </w:rPr>
        <w:fldChar w:fldCharType="separate"/>
      </w:r>
      <w:r w:rsidR="007E1836" w:rsidRPr="007E1836">
        <w:t>[9]</w:t>
      </w:r>
      <w:r w:rsidR="007E1836">
        <w:rPr>
          <w:lang w:val="en-ID"/>
        </w:rPr>
        <w:fldChar w:fldCharType="end"/>
      </w:r>
      <w:r w:rsidRPr="00C86DA3">
        <w:rPr>
          <w:lang w:val="en-ID"/>
        </w:rPr>
        <w:t xml:space="preserve">. </w:t>
      </w:r>
      <w:proofErr w:type="spellStart"/>
      <w:r w:rsidRPr="00C86DA3">
        <w:rPr>
          <w:lang w:val="en-ID"/>
        </w:rPr>
        <w:t>VulnBot</w:t>
      </w:r>
      <w:proofErr w:type="spellEnd"/>
      <w:r w:rsidRPr="00C86DA3">
        <w:rPr>
          <w:lang w:val="en-ID"/>
        </w:rPr>
        <w:t xml:space="preserve"> uses a penetration task graph to organize the reconnaissance, scanning, and exploitation processes </w:t>
      </w:r>
      <w:r w:rsidR="00890F9A">
        <w:rPr>
          <w:lang w:val="en-ID"/>
        </w:rPr>
        <w:fldChar w:fldCharType="begin"/>
      </w:r>
      <w:r w:rsidR="00890F9A">
        <w:rPr>
          <w:lang w:val="en-ID"/>
        </w:rPr>
        <w:instrText xml:space="preserve"> ADDIN ZOTERO_ITEM CSL_CITATION {"citationID":"enQgdo66","properties":{"unsorted":false,"formattedCitation":"[10]","plainCitation":"[10]","noteIndex":0},"citationItems":[{"id":42,"uris":["http://zotero.org/users/20449755/items/9V2K9QFV"],"itemData":{"id":42,"type":"article-journal","abstract":"Penetration testing is a vital practice for identifying and mitigating vulnerabilities in cybersecurity systems, but its manual execution is labor-intensive and time-consuming. Existing large language model (LLM)-assisted or automated penetration testing approaches often suffer from inefficiencies, such as a lack of contextual understanding and excessive, unstructured data generation. This paper presents VulnBot, an automated penetration testing framework that leverages LLMs to simulate the collaborative workflow of human penetration testing teams through a multi-agent system. To address the inefficiencies and reliance on manual intervention in traditional penetration testing methods, VulnBot decomposes complex tasks into three specialized phases: reconnaissance, scanning, and exploitation. These phases are guided by a penetration task graph (PTG) to ensure logical task execution. Key design features include role specialization, penetration path planning, inter-agent communication, and generative penetration behavior. Experimental results demonstrate that VulnBot outperforms baseline models such as GPT-4 and Llama3 in automated penetration testing tasks, particularly showcasing its potential in fully autonomous testing on real-world machines.","DOI":"10.48550/ARXIV.2501.13411","license":"arXiv.org perpetual, non-exclusive license","note":"version: 1","publisher":"arXiv","source":"Semantic Scholar","title":"VulnBot: Autonomous Penetration Testing for A Multi-Agent Collaborative Framework","title-short":"VulnBot","URL":"https://arxiv.org/abs/2501.13411","author":[{"family":"Kong","given":"He"},{"family":"Hu","given":"Die"},{"family":"Ge","given":"Jingguo"},{"family":"Li","given":"Liangxiong"},{"family":"Li","given":"Tong"},{"family":"Wu","given":"Bingzhen"}],"accessed":{"date-parts":[["2026",5,9]]},"issued":{"date-parts":[["2025"]]}}}],"schema":"https://github.com/citation-style-language/schema/raw/master/csl-citation.json"} </w:instrText>
      </w:r>
      <w:r w:rsidR="00890F9A">
        <w:rPr>
          <w:lang w:val="en-ID"/>
        </w:rPr>
        <w:fldChar w:fldCharType="separate"/>
      </w:r>
      <w:r w:rsidR="00890F9A" w:rsidRPr="00890F9A">
        <w:t>[10]</w:t>
      </w:r>
      <w:r w:rsidR="00890F9A">
        <w:rPr>
          <w:lang w:val="en-ID"/>
        </w:rPr>
        <w:fldChar w:fldCharType="end"/>
      </w:r>
      <w:r w:rsidRPr="00C86DA3">
        <w:rPr>
          <w:lang w:val="en-ID"/>
        </w:rPr>
        <w:t>. The studies above prove the relevance of applying structured task management; nevertheless, the obtained results can hardly be considered the direct baseline for conducting other experiments on a different target and with a different set of techniques and successful outcomes.</w:t>
      </w:r>
    </w:p>
    <w:p w14:paraId="73097E5B" w14:textId="7DF74BD2" w:rsidR="00154674" w:rsidRPr="00DB6548" w:rsidRDefault="00C86DA3" w:rsidP="00990A93">
      <w:pPr>
        <w:spacing w:line="228" w:lineRule="auto"/>
        <w:ind w:firstLine="289"/>
        <w:rPr>
          <w:lang w:val="en-ID"/>
        </w:rPr>
      </w:pPr>
      <w:r w:rsidRPr="00C86DA3">
        <w:rPr>
          <w:lang w:val="en-ID"/>
        </w:rPr>
        <w:t xml:space="preserve">AWE provides the use of a vulnerability-specific analysis pipeline, persistent memory, and browser-based validation </w:t>
      </w:r>
      <w:r w:rsidR="00890F9A">
        <w:rPr>
          <w:lang w:val="en-ID"/>
        </w:rPr>
        <w:fldChar w:fldCharType="begin"/>
      </w:r>
      <w:r w:rsidR="00890F9A">
        <w:rPr>
          <w:lang w:val="en-ID"/>
        </w:rPr>
        <w:instrText xml:space="preserve"> ADDIN ZOTERO_ITEM CSL_CITATION {"citationID":"UXX6bR6X","properties":{"unsorted":false,"formattedCitation":"[11]","plainCitation":"[11]","noteIndex":0},"citationItems":[{"id":94,"uris":["http://zotero.org/users/20449755/items/RB3K3P34"],"itemData":{"id":94,"type":"article","abstract":"Modern web applications are increasingly produced through AI-assisted development and rapid no-code deployment pipelines, widening the gap between accelerating software velocity and the limited adaptability of existing security tooling. Pattern-driven scanners fail to reason about novel contexts, while emerging LLM-based penetration testers rely on unconstrained exploration, yielding high cost, unstable behavior, and poor reproducibility. We introduce AWE, a memory-augmented multi-agent framework for autonomous web penetration testing that embeds structured, vulnerability-specific analysis pipelines within a lightweight LLM orchestration layer. Unlike general-purpose agents, AWE couples context aware payload mutations and generations with persistent memory and browser-backed verification to produce deterministic, exploitation-driven results. Evaluated on the 104-challenge XBOW benchmark, AWE achieves substantial gains on injection-class vulnerabilities - 87% XSS success (+30.5% over MAPTA) and 66.7% blind SQL injection success (+33.3%) - while being much faster, cheaper, and more token-efficient than MAPTA, despite using a midtier model (Claude Sonnet 4) versus MAPTA's GPT-5. MAPTA retains higher overall coverage due to broader exploratory capabilities, underscoring the complementary strengths of specialized and general-purpose architectures. Our results demonstrate that architecture matters as much as model reasoning capabilities: integrating LLMs into principled, vulnerability-aware pipelines yields substantial gains in accuracy, efficiency, and determinism for injection-class exploits. The source code for AWE is available at: https://github.com/stuxlabs/AWE","DOI":"10.14722/last-x.2026.23037","note":"arXiv:2603.00960 [cs.CR]","source":"arXiv.org","title":"AWE: Adaptive Agents for Dynamic Web Penetration Testing","title-short":"AWE","URL":"http://arxiv.org/abs/2603.00960","author":[{"family":"Jaswal","given":"Akshat Singh"},{"family":"Baghel","given":"Ashish"}],"accessed":{"date-parts":[["2026",5,12]]},"issued":{"date-parts":[["2026",3,1]]}}}],"schema":"https://github.com/citation-style-language/schema/raw/master/csl-citation.json"} </w:instrText>
      </w:r>
      <w:r w:rsidR="00890F9A">
        <w:rPr>
          <w:lang w:val="en-ID"/>
        </w:rPr>
        <w:fldChar w:fldCharType="separate"/>
      </w:r>
      <w:r w:rsidR="00890F9A" w:rsidRPr="00890F9A">
        <w:t>[11]</w:t>
      </w:r>
      <w:r w:rsidR="00890F9A">
        <w:rPr>
          <w:lang w:val="en-ID"/>
        </w:rPr>
        <w:fldChar w:fldCharType="end"/>
      </w:r>
      <w:r w:rsidRPr="00C86DA3">
        <w:rPr>
          <w:lang w:val="en-ID"/>
        </w:rPr>
        <w:t xml:space="preserve">. The usage of these limited and specialized components complies with the distinction made by this paper between orchestration and execution agents. In its turn, formal automation has been studied by </w:t>
      </w:r>
      <w:proofErr w:type="spellStart"/>
      <w:r w:rsidRPr="00C86DA3">
        <w:rPr>
          <w:lang w:val="en-ID"/>
        </w:rPr>
        <w:t>Skandylas</w:t>
      </w:r>
      <w:proofErr w:type="spellEnd"/>
      <w:r w:rsidRPr="00C86DA3">
        <w:rPr>
          <w:lang w:val="en-ID"/>
        </w:rPr>
        <w:t xml:space="preserve"> and Asplund </w:t>
      </w:r>
      <w:r w:rsidR="00890F9A">
        <w:rPr>
          <w:lang w:val="en-ID"/>
        </w:rPr>
        <w:fldChar w:fldCharType="begin"/>
      </w:r>
      <w:r w:rsidR="00890F9A">
        <w:rPr>
          <w:lang w:val="en-ID"/>
        </w:rPr>
        <w:instrText xml:space="preserve"> ADDIN ZOTERO_ITEM CSL_CITATION {"citationID":"drMDSiba","properties":{"unsorted":false,"formattedCitation":"[12]","plainCitation":"[12]","noteIndex":0},"citationItems":[{"id":124,"uris":["http://zotero.org/users/20449755/items/B9NXC3JX"],"itemData":{"id":124,"type":"article-journal","abstract":"Recent changes in standards and regulations, driven by the increasing importance of software systems in meeting societal needs, mandate increased security testing of software systems. Penetration testing has been shown to be a reliable method to asses software system security. However, manual penetration testing is labor-intensive and requires highly skilled practitioners. Given the shortage of cybersecurity experts and current societal needs, increasing the degree of automation involved in penetration testing can aid in fulfilling the demands for increased security testing. In this work, we formally express the penetration testing problem at the architectural level and suggest a general self-organizing architecture that can be instantiated to automate penetration testing of real systems. We further describe and implement a specialization of the architecture in ADAPT, an architecture-driven automated penetration testing tool, targeting systems composed of hosts and services. We evaluate and demonstrate the feasibility of ADAPT by automatically performing penetration tests with success against: Metasploitable2, Metasploitable3, and a realistic virtual network used as a lab environment for penetration tester training.","container-title":"Computers &amp; Security","DOI":"10.1016/j.cose.2025.104454","ISSN":"0167-4048","journalAbbreviation":"Computers &amp; Security","page":"104454","source":"ScienceDirect","title":"Automated penetration testing: Formalization and realization","title-short":"Automated penetration testing","volume":"155","author":[{"family":"Skandylas","given":"Charilaos"},{"family":"Asplund","given":"Mikael"}],"issued":{"date-parts":[["2025",8,1]]}}}],"schema":"https://github.com/citation-style-language/schema/raw/master/csl-citation.json"} </w:instrText>
      </w:r>
      <w:r w:rsidR="00890F9A">
        <w:rPr>
          <w:lang w:val="en-ID"/>
        </w:rPr>
        <w:fldChar w:fldCharType="separate"/>
      </w:r>
      <w:r w:rsidR="00890F9A" w:rsidRPr="00890F9A">
        <w:t>[12]</w:t>
      </w:r>
      <w:r w:rsidR="00890F9A">
        <w:rPr>
          <w:lang w:val="en-ID"/>
        </w:rPr>
        <w:fldChar w:fldCharType="end"/>
      </w:r>
      <w:r w:rsidR="00B62B5D">
        <w:rPr>
          <w:lang w:val="en-ID"/>
        </w:rPr>
        <w:t>. M</w:t>
      </w:r>
      <w:r w:rsidRPr="00C86DA3">
        <w:rPr>
          <w:lang w:val="en-ID"/>
        </w:rPr>
        <w:t xml:space="preserve">eanwhile, Wang et al. examined an integrated approach to </w:t>
      </w:r>
      <w:proofErr w:type="spellStart"/>
      <w:r w:rsidRPr="00C86DA3">
        <w:rPr>
          <w:lang w:val="en-ID"/>
        </w:rPr>
        <w:t>modeling</w:t>
      </w:r>
      <w:proofErr w:type="spellEnd"/>
      <w:r w:rsidRPr="00C86DA3">
        <w:rPr>
          <w:lang w:val="en-ID"/>
        </w:rPr>
        <w:t xml:space="preserve"> for automated penetration-testing simulation </w:t>
      </w:r>
      <w:r w:rsidR="0069149D">
        <w:rPr>
          <w:lang w:val="en-ID"/>
        </w:rPr>
        <w:fldChar w:fldCharType="begin"/>
      </w:r>
      <w:r w:rsidR="0069149D">
        <w:rPr>
          <w:lang w:val="en-ID"/>
        </w:rPr>
        <w:instrText xml:space="preserve"> ADDIN ZOTERO_ITEM CSL_CITATION {"citationID":"fa6WmdzP","properties":{"unsorted":false,"formattedCitation":"[13]","plainCitation":"[13]","noteIndex":0},"citationItems":[{"id":16,"uris":["http://zotero.org/users/20449755/items/2RLMJAGS"],"itemData":{"id":16,"type":"article-journal","abstract":"Recent advancements in AI-integrated automated penetration testing (AutoPT) methodologies demonstrate that agent training based on simulation modeling can significantly enhance cost-efficiency while reducing feedback latency. However, despite the growing body of AutoPT research, a critical gap remains: the absence of a unified framework for simulation modeling methods. This paper systematically reviews and synthesizes existing techniques, proposing MDCPM to categorize studies based on their objectives, network simulation complexity, technical and tactical operation dependencies, and scenario feedback and variation. To address the lack of a unified method for multi-dimensional, multi-level simulation modeling, especially in dynamic environments, we propose AutoPT-Sim, a novel policy-automation-driven framework capable of simulating arbitrary sub-dimensional element across three key dimensions. AutoPT-Sim offers a holistic approach to modeling network environments, attackers, and defenders, overcoming the limitations of static and linear modeling techniques. Furthermore, we contribute a standardized network environment dataset and a network generator tool capable of generating networks of diverse sizes. By seamlessly integrating such datasets, AutoPT-Sim enables diverse simulation modeling levels for policy automation in MDCPM, while the network generator empowers researchers to create customized target network data, supporting tailored experimentation.","container-title":"Computers &amp; Security","DOI":"10.1016/j.cose.2025.104787","ISSN":"0167-4048","journalAbbreviation":"Computers &amp; Security","page":"104787","source":"ScienceDirect","title":"A unified modeling framework for automated penetration testing","volume":"162","author":[{"family":"Wang","given":"Yunfei"},{"family":"Liu","given":"Shixuan"},{"family":"Wang","given":"Wenhao"},{"family":"Zhou","given":"Changling"},{"family":"Zhang","given":"Chao"},{"family":"Jin","given":"Jiandong"},{"family":"Zhu","given":"Cheng"}],"issued":{"date-parts":[["2026",3,1]]}}}],"schema":"https://github.com/citation-style-language/schema/raw/master/csl-citation.json"} </w:instrText>
      </w:r>
      <w:r w:rsidR="0069149D">
        <w:rPr>
          <w:lang w:val="en-ID"/>
        </w:rPr>
        <w:fldChar w:fldCharType="separate"/>
      </w:r>
      <w:r w:rsidR="0069149D" w:rsidRPr="0069149D">
        <w:t>[13]</w:t>
      </w:r>
      <w:r w:rsidR="0069149D">
        <w:rPr>
          <w:lang w:val="en-ID"/>
        </w:rPr>
        <w:fldChar w:fldCharType="end"/>
      </w:r>
      <w:r w:rsidRPr="00C86DA3">
        <w:rPr>
          <w:lang w:val="en-ID"/>
        </w:rPr>
        <w:t xml:space="preserve">. In sum, </w:t>
      </w:r>
      <w:proofErr w:type="gramStart"/>
      <w:r w:rsidRPr="00C86DA3">
        <w:rPr>
          <w:lang w:val="en-ID"/>
        </w:rPr>
        <w:t>all of</w:t>
      </w:r>
      <w:proofErr w:type="gramEnd"/>
      <w:r w:rsidRPr="00C86DA3">
        <w:rPr>
          <w:lang w:val="en-ID"/>
        </w:rPr>
        <w:t xml:space="preserve"> these approaches stress the importance of properly defining the decision-making space of the experiment and its environment.</w:t>
      </w:r>
    </w:p>
    <w:p w14:paraId="4E41533B" w14:textId="7FDE396A" w:rsidR="00154674" w:rsidRPr="00DB6548" w:rsidRDefault="00BA393B">
      <w:pPr>
        <w:pStyle w:val="Heading2"/>
      </w:pPr>
      <w:r w:rsidRPr="00DB6548">
        <w:t xml:space="preserve">B. </w:t>
      </w:r>
      <w:r>
        <w:tab/>
      </w:r>
      <w:r w:rsidR="00E76E6F" w:rsidRPr="00DB6548">
        <w:t>Graph Knowledge and Evidence-Separated Evaluation</w:t>
      </w:r>
    </w:p>
    <w:p w14:paraId="2BED6099" w14:textId="40DDAFA2" w:rsidR="009E37B6" w:rsidRPr="009E37B6" w:rsidRDefault="009E37B6" w:rsidP="00990A93">
      <w:pPr>
        <w:spacing w:line="228" w:lineRule="auto"/>
        <w:ind w:firstLine="289"/>
        <w:rPr>
          <w:lang w:val="en-ID"/>
        </w:rPr>
      </w:pPr>
      <w:r w:rsidRPr="009E37B6">
        <w:rPr>
          <w:lang w:val="en-ID"/>
        </w:rPr>
        <w:t xml:space="preserve">Graph representations for general knowledge </w:t>
      </w:r>
      <w:r w:rsidR="00FF3D89">
        <w:rPr>
          <w:lang w:val="en-ID"/>
        </w:rPr>
        <w:fldChar w:fldCharType="begin"/>
      </w:r>
      <w:r w:rsidR="00FF3D89">
        <w:rPr>
          <w:lang w:val="en-ID"/>
        </w:rPr>
        <w:instrText xml:space="preserve"> ADDIN ZOTERO_ITEM CSL_CITATION {"citationID":"YDzlAkfC","properties":{"unsorted":false,"formattedCitation":"[6]","plainCitation":"[6]","noteIndex":0},"citationItems":[{"id":60,"uris":["http://zotero.org/users/20449755/items/3DWB5ZZC"],"itemData":{"id":60,"type":"article-journal","abstract":"Human knowledge provides a formal understanding of the world. Knowledge graphs that represent structural relations between entities have become an increasingly popular research direction toward cognition and human-level intelligence. In this survey, we provide a comprehensive review of the knowledge graph covering overall research topics about: 1) knowledge graph representation learning; 2) knowledge acquisition and completion; 3) temporal knowledge graph; and 4) knowledge-aware applications and summarize recent breakthroughs and perspective directions to facilitate future research. We propose a full-view categorization and new taxonomies on these topics. Knowledge graph embedding is organized from four aspects of representation space, scoring function, encoding models, and auxiliary information. For knowledge acquisition, especially knowledge graph completion, embedding methods, path inference, and logical rule reasoning are reviewed. We further explore several emerging topics, including metarelational learning, commonsense reasoning, and temporal knowledge graphs. To facilitate future research on knowledge graphs, we also provide a curated collection of data sets and open-source libraries on different tasks. In the end, we have a thorough outlook on several promising research directions.","container-title":"IEEE Transactions on Neural Networks and Learning Systems","DOI":"10.1109/TNNLS.2021.3070843","ISSN":"2162-2388","issue":"2","page":"494-514","source":"IEEE Xplore","title":"A Survey on Knowledge Graphs: Representation, Acquisition, and Applications","title-short":"A Survey on Knowledge Graphs","volume":"33","author":[{"family":"Ji","given":"Shaoxiong"},{"family":"Pan","given":"Shirui"},{"family":"Cambria","given":"Erik"},{"family":"Marttinen","given":"Pekka"},{"family":"Yu","given":"Philip S."}],"issued":{"date-parts":[["2022",2]]}}}],"schema":"https://github.com/citation-style-language/schema/raw/master/csl-citation.json"} </w:instrText>
      </w:r>
      <w:r w:rsidR="00FF3D89">
        <w:rPr>
          <w:lang w:val="en-ID"/>
        </w:rPr>
        <w:fldChar w:fldCharType="separate"/>
      </w:r>
      <w:r w:rsidR="00FF3D89" w:rsidRPr="00FF3D89">
        <w:t>[6]</w:t>
      </w:r>
      <w:r w:rsidR="00FF3D89">
        <w:rPr>
          <w:lang w:val="en-ID"/>
        </w:rPr>
        <w:fldChar w:fldCharType="end"/>
      </w:r>
      <w:r w:rsidRPr="009E37B6">
        <w:rPr>
          <w:lang w:val="en-ID"/>
        </w:rPr>
        <w:t xml:space="preserve"> and graph representations for cybersecurity knowledge </w:t>
      </w:r>
      <w:r w:rsidR="00DC16B0">
        <w:rPr>
          <w:lang w:val="en-ID"/>
        </w:rPr>
        <w:fldChar w:fldCharType="begin"/>
      </w:r>
      <w:r w:rsidR="00DC16B0">
        <w:rPr>
          <w:lang w:val="en-ID"/>
        </w:rPr>
        <w:instrText xml:space="preserve"> ADDIN ZOTERO_ITEM CSL_CITATION {"citationID":"DmjXRrYX","properties":{"unsorted":false,"formattedCitation":"[7]","plainCitation":"[7]","noteIndex":0},"citationItems":[{"id":65,"uris":["http://zotero.org/users/20449755/items/CNBPE352"],"itemData":{"id":65,"type":"article-journal","abstract":"Cybersecurity knowledge graphs, which represent cyber-knowledge with a graph-based data model, provide holistic approaches for processing massive volumes of complex cybersecurity data derived from diverse sources. They can assist security analysts to obtain cyberthreat intelligence, achieve a high level of cyber-situational awareness, discover new cyber-knowledge, visualize networks, data flow, and attack paths, and understand data correlations by aggregating and fusing data. This paper reviews the most prominent graph-based data models used in this domain, along with knowledge organization systems that define concepts and properties utilized in formal cyber-knowledge representation for both background knowledge and specific expert knowledge about an actual system or attack. It is also discussed how cybersecurity knowledge graphs enable machine learning and facilitate automated reasoning over cyber-knowledge.","container-title":"Knowledge and Information Systems","DOI":"10.1007/s10115-023-01860-3","ISSN":"0219-3116","issue":"9","journalAbbreviation":"Knowl Inf Syst","language":"en","page":"3511-3531","source":"Springer Link","title":"Cybersecurity knowledge graphs","volume":"65","author":[{"family":"Sikos","given":"Leslie F."}],"issued":{"date-parts":[["2023",9,1]]}}}],"schema":"https://github.com/citation-style-language/schema/raw/master/csl-citation.json"} </w:instrText>
      </w:r>
      <w:r w:rsidR="00DC16B0">
        <w:rPr>
          <w:lang w:val="en-ID"/>
        </w:rPr>
        <w:fldChar w:fldCharType="separate"/>
      </w:r>
      <w:r w:rsidR="00DC16B0" w:rsidRPr="00DC16B0">
        <w:t>[7]</w:t>
      </w:r>
      <w:r w:rsidR="00DC16B0">
        <w:rPr>
          <w:lang w:val="en-ID"/>
        </w:rPr>
        <w:fldChar w:fldCharType="end"/>
      </w:r>
      <w:r w:rsidRPr="009E37B6">
        <w:rPr>
          <w:lang w:val="en-ID"/>
        </w:rPr>
        <w:t xml:space="preserve"> offer explicit relation structures and traceable reasoning. Previous investigations into attack graphs </w:t>
      </w:r>
      <w:r w:rsidR="003C04AA" w:rsidRPr="009E37B6">
        <w:rPr>
          <w:lang w:val="en-ID"/>
        </w:rPr>
        <w:t>considered</w:t>
      </w:r>
      <w:r w:rsidRPr="009E37B6">
        <w:rPr>
          <w:lang w:val="en-ID"/>
        </w:rPr>
        <w:t xml:space="preserve"> action dependencies and objective </w:t>
      </w:r>
      <w:proofErr w:type="spellStart"/>
      <w:r w:rsidRPr="009E37B6">
        <w:rPr>
          <w:lang w:val="en-ID"/>
        </w:rPr>
        <w:t>modeling</w:t>
      </w:r>
      <w:proofErr w:type="spellEnd"/>
      <w:r w:rsidRPr="009E37B6">
        <w:rPr>
          <w:lang w:val="en-ID"/>
        </w:rPr>
        <w:t xml:space="preserve"> </w:t>
      </w:r>
      <w:r w:rsidR="003C04AA">
        <w:rPr>
          <w:lang w:val="en-ID"/>
        </w:rPr>
        <w:fldChar w:fldCharType="begin"/>
      </w:r>
      <w:r w:rsidR="003C04AA">
        <w:rPr>
          <w:lang w:val="en-ID"/>
        </w:rPr>
        <w:instrText xml:space="preserve"> ADDIN ZOTERO_ITEM CSL_CITATION {"citationID":"oN8kWXrS","properties":{"unsorted":false,"formattedCitation":"[8]","plainCitation":"[8]","noteIndex":0},"citationItems":[{"id":63,"uris":["http://zotero.org/users/20449755/items/PPU9NPJW"],"itemData":{"id":63,"type":"paper-conference","abstract":"An integral part of modeling the global view of network security is constructing attack graphs. Manual attack graph construction is tedious, error-prone, and impractical for attack graphs larger than a hundred nodes. In this paper we present an automated technique for generating and analyzing attack graphs. We base our technique on symbolic model checking algorithms, letting us construct attack graphs automatically and efficiently. We also describe two analyses to help decide which attacks would be most cost-effective to guard against. We implemented our technique in a tool suite and tested it on a small network example, which includes models of a firewall and an intrusion detection system.","container-title":"Proceedings 2002 IEEE Symposium on Security and Privacy","DOI":"10.1109/SECPRI.2002.1004377","event-title":"2002 IEEE Symposium on Security and Privacy","ISSN":"1081-6011","note":"ISSN: 1081-6011","page":"273-284","source":"IEEE Xplore","title":"Automated generation and analysis of attack graphs","URL":"https://ieeexplore.ieee.org/document/1004377","author":[{"family":"Sheyner","given":"O."},{"family":"Haines","given":"J."},{"family":"Jha","given":"S."},{"family":"Lippmann","given":"R."},{"family":"Wing","given":"J.M."}],"accessed":{"date-parts":[["2026",5,10]]},"issued":{"date-parts":[["2002",5]]}}}],"schema":"https://github.com/citation-style-language/schema/raw/master/csl-citation.json"} </w:instrText>
      </w:r>
      <w:r w:rsidR="003C04AA">
        <w:rPr>
          <w:lang w:val="en-ID"/>
        </w:rPr>
        <w:fldChar w:fldCharType="separate"/>
      </w:r>
      <w:r w:rsidR="003C04AA" w:rsidRPr="003C04AA">
        <w:t>[8]</w:t>
      </w:r>
      <w:r w:rsidR="003C04AA">
        <w:rPr>
          <w:lang w:val="en-ID"/>
        </w:rPr>
        <w:fldChar w:fldCharType="end"/>
      </w:r>
      <w:r w:rsidRPr="009E37B6">
        <w:rPr>
          <w:lang w:val="en-ID"/>
        </w:rPr>
        <w:t xml:space="preserve">. </w:t>
      </w:r>
      <w:proofErr w:type="spellStart"/>
      <w:r w:rsidRPr="009E37B6">
        <w:rPr>
          <w:lang w:val="en-ID"/>
        </w:rPr>
        <w:t>Prapty</w:t>
      </w:r>
      <w:proofErr w:type="spellEnd"/>
      <w:r w:rsidRPr="009E37B6">
        <w:rPr>
          <w:lang w:val="en-ID"/>
        </w:rPr>
        <w:t xml:space="preserve"> et al. researched large language models with retrievers in the context of attack graphs generation </w:t>
      </w:r>
      <w:r w:rsidR="003C04AA">
        <w:rPr>
          <w:lang w:val="en-ID"/>
        </w:rPr>
        <w:fldChar w:fldCharType="begin"/>
      </w:r>
      <w:r w:rsidR="003C04AA">
        <w:rPr>
          <w:lang w:val="en-ID"/>
        </w:rPr>
        <w:instrText xml:space="preserve"> ADDIN ZOTERO_ITEM CSL_CITATION {"citationID":"jevJfokw","properties":{"unsorted":false,"formattedCitation":"[14]","plainCitation":"[14]","noteIndex":0},"citationItems":[{"id":67,"uris":["http://zotero.org/users/20449755/items/3CCUTCKZ"],"itemData":{"id":67,"type":"article-journal","abstract":"As the complexity of modern systems increases, so does the importance of assessing their security posture through effective vulnerability management and threat modeling techniques. One powerful tool in the arsenal of cybersecurity professionals is the attack graph, a representation of all potential attack paths within a system that an adversary might exploit to achieve a certain objective. Traditional methods of generating attack graphs involve expert knowledge, manual curation, and computational algorithms that might not cover the entire threat landscape due to the ever-evolving nature of vulnerabilities and exploits. This paper explores the approach of leveraging large language models (LLMs), such as ChatGPT, to automate the generation of attack graphs by intelligently chaining Common Vulnerabilities and Exposures (CVEs) based on their preconditions and effects. It also shows how to utilize LLMs to create attack graphs from threat reports.","DOI":"10.48550/ARXIV.2408.05855","license":"Creative Commons Attribution 4.0 International","note":"version: 1","publisher":"arXiv","source":"Semantic Scholar","title":"Using Retriever Augmented Large Language Models for Attack Graph Generation","URL":"https://arxiv.org/abs/2408.05855","author":[{"family":"Prapty","given":"Renascence Tarafder"},{"family":"Kundu","given":"Ashish"},{"family":"Iyengar","given":"Arun"}],"accessed":{"date-parts":[["2026",5,10]]},"issued":{"date-parts":[["2024"]]}}}],"schema":"https://github.com/citation-style-language/schema/raw/master/csl-citation.json"} </w:instrText>
      </w:r>
      <w:r w:rsidR="003C04AA">
        <w:rPr>
          <w:lang w:val="en-ID"/>
        </w:rPr>
        <w:fldChar w:fldCharType="separate"/>
      </w:r>
      <w:r w:rsidR="003C04AA" w:rsidRPr="003C04AA">
        <w:t>[14]</w:t>
      </w:r>
      <w:r w:rsidR="003C04AA">
        <w:rPr>
          <w:lang w:val="en-ID"/>
        </w:rPr>
        <w:fldChar w:fldCharType="end"/>
      </w:r>
      <w:r w:rsidRPr="009E37B6">
        <w:rPr>
          <w:lang w:val="en-ID"/>
        </w:rPr>
        <w:t>. The attack graph in the current research differs from them in that it is created and verified before its execution and its method node restricts payload creation space. Graph creation runtime is not one of the tested system components.</w:t>
      </w:r>
    </w:p>
    <w:p w14:paraId="4508ED7F" w14:textId="2A6935B0" w:rsidR="00154674" w:rsidRPr="00DB6548" w:rsidRDefault="009E37B6" w:rsidP="00990A93">
      <w:pPr>
        <w:spacing w:line="228" w:lineRule="auto"/>
        <w:ind w:firstLine="289"/>
        <w:rPr>
          <w:lang w:val="en-ID"/>
        </w:rPr>
      </w:pPr>
      <w:proofErr w:type="spellStart"/>
      <w:r w:rsidRPr="009E37B6">
        <w:rPr>
          <w:lang w:val="en-ID"/>
        </w:rPr>
        <w:t>AutoPenBench</w:t>
      </w:r>
      <w:proofErr w:type="spellEnd"/>
      <w:r w:rsidRPr="009E37B6">
        <w:rPr>
          <w:lang w:val="en-ID"/>
        </w:rPr>
        <w:t xml:space="preserve"> tests generative agents' vulnerability testing capabilities based on task milestones and allows measuring progress during the process as opposed to being only interested in the final success </w:t>
      </w:r>
      <w:r w:rsidR="003C04AA">
        <w:rPr>
          <w:lang w:val="en-ID"/>
        </w:rPr>
        <w:fldChar w:fldCharType="begin"/>
      </w:r>
      <w:r w:rsidR="003C04AA">
        <w:rPr>
          <w:lang w:val="en-ID"/>
        </w:rPr>
        <w:instrText xml:space="preserve"> ADDIN ZOTERO_ITEM CSL_CITATION {"citationID":"5qymriiq","properties":{"unsorted":false,"formattedCitation":"[15]","plainCitation":"[15]","noteIndex":0},"citationItems":[{"id":101,"uris":["http://zotero.org/users/20449755/items/NUPNLCSD"],"itemData":{"id":101,"type":"paper-conference","abstract":"LLM agents show promise for vulnerability testing. We however lack benchmarks to evaluate and compare solutions. AutoPenBench covers this need offering an open benchmark for the evaluation of vulnerability testing agents. It includes 33 tasks, ranging from introductory exercises to actual vulnerable systems. It supports MCP, enabling the comparison of agent capabilities. We introduce milestones per task, allowing the comparison of intermediate steps where agents struggle. To illustrate the use of AutoPenBench we evaluate autonomous and human-assisted agent architectures. The former achieves 21% success rates, insufficient for production, while human-assisted agents reach 64% success, indicating a viable industrial path. AutoPenBench is offered as open source and enables fair comparison of agents.","container-title":"Proceedings of the 2025 Conference on Empirical Methods in Natural Language Processing: Industry Track","DOI":"10.18653/v1/2025.emnlp-industry.114","event-title":"EMNLP 2025","ISBN":"979-8-89176-333-3","page":"1615–1624","publisher":"Association for Computational Linguistics","publisher-place":"Suzhou (China)","source":"ACLWeb","title":"AutoPenBench: A Vulnerability Testing Benchmark for Generative Agents","title-short":"AutoPenBench","URL":"https://aclanthology.org/2025.emnlp-industry.114/","author":[{"family":"Gioacchini","given":"Luca"},{"family":"Delsanto","given":"Alexander"},{"family":"Drago","given":"Idilio"},{"family":"Mellia","given":"Marco"},{"family":"Siracusano","given":"Giuseppe"},{"family":"Bifulco","given":"Roberto"}],"editor":[{"family":"Potdar","given":"Saloni"},{"family":"Rojas-Barahona","given":"Lina"},{"family":"Montella","given":"Sebastien"}],"accessed":{"date-parts":[["2026",5,12]]},"issued":{"date-parts":[["2025",11]]}}}],"schema":"https://github.com/citation-style-language/schema/raw/master/csl-citation.json"} </w:instrText>
      </w:r>
      <w:r w:rsidR="003C04AA">
        <w:rPr>
          <w:lang w:val="en-ID"/>
        </w:rPr>
        <w:fldChar w:fldCharType="separate"/>
      </w:r>
      <w:r w:rsidR="003C04AA" w:rsidRPr="003C04AA">
        <w:t>[15]</w:t>
      </w:r>
      <w:r w:rsidR="003C04AA">
        <w:rPr>
          <w:lang w:val="en-ID"/>
        </w:rPr>
        <w:fldChar w:fldCharType="end"/>
      </w:r>
      <w:r w:rsidRPr="009E37B6">
        <w:rPr>
          <w:lang w:val="en-ID"/>
        </w:rPr>
        <w:t xml:space="preserve">. This corresponds to discrete logging in the process of selection, validation, execution, and chaining. The present study does not duplicate </w:t>
      </w:r>
      <w:proofErr w:type="spellStart"/>
      <w:r w:rsidRPr="009E37B6">
        <w:rPr>
          <w:lang w:val="en-ID"/>
        </w:rPr>
        <w:t>AutoPenBench</w:t>
      </w:r>
      <w:proofErr w:type="spellEnd"/>
      <w:r w:rsidRPr="009E37B6">
        <w:rPr>
          <w:lang w:val="en-ID"/>
        </w:rPr>
        <w:t xml:space="preserve"> tasks because the only targeted application is the Damn Vulnerable Web Application (DVWA) and the </w:t>
      </w:r>
      <w:r w:rsidRPr="009E37B6">
        <w:rPr>
          <w:lang w:val="en-ID"/>
        </w:rPr>
        <w:t>evidential signals and successes are relevant to the predefined DVWA methods only.</w:t>
      </w:r>
    </w:p>
    <w:p w14:paraId="028BF031" w14:textId="0B4D83A2" w:rsidR="00154674" w:rsidRPr="00DB6548" w:rsidRDefault="00BA393B">
      <w:pPr>
        <w:pStyle w:val="Heading2"/>
      </w:pPr>
      <w:r w:rsidRPr="00DB6548">
        <w:t xml:space="preserve">C. </w:t>
      </w:r>
      <w:r>
        <w:tab/>
      </w:r>
      <w:r w:rsidR="00E76E6F" w:rsidRPr="00DB6548">
        <w:t>Vulnerability Scope and Safety Controls</w:t>
      </w:r>
    </w:p>
    <w:p w14:paraId="7A657AD7" w14:textId="24281286" w:rsidR="00D01DC8" w:rsidRPr="00D01DC8" w:rsidRDefault="00D01DC8" w:rsidP="00990A93">
      <w:pPr>
        <w:spacing w:line="228" w:lineRule="auto"/>
        <w:ind w:firstLine="289"/>
        <w:rPr>
          <w:lang w:val="en-ID"/>
        </w:rPr>
      </w:pPr>
      <w:r w:rsidRPr="00D01DC8">
        <w:rPr>
          <w:lang w:val="en-ID"/>
        </w:rPr>
        <w:t xml:space="preserve">The attack surface under consideration includes SQL injections (SQLi), access control, and brute force. Studies on broken access control detection </w:t>
      </w:r>
      <w:r w:rsidR="003318E3">
        <w:rPr>
          <w:lang w:val="en-ID"/>
        </w:rPr>
        <w:fldChar w:fldCharType="begin"/>
      </w:r>
      <w:r w:rsidR="003318E3">
        <w:rPr>
          <w:lang w:val="en-ID"/>
        </w:rPr>
        <w:instrText xml:space="preserve"> ADDIN ZOTERO_ITEM CSL_CITATION {"citationID":"bIgGkInd","properties":{"unsorted":false,"formattedCitation":"[16]","plainCitation":"[16]","noteIndex":0},"citationItems":[{"id":84,"uris":["http://zotero.org/users/20449755/items/X8UXZEU9"],"itemData":{"id":84,"type":"article-journal","abstract":"Web applications are an essential component of the current wide range of digital services proposition including financial and governmental services as well as social networking and communications. Broken access control vulnerabilities pose a huge risk to that echo system because they allow the attacker to circumvent the allocated permissions and rights and perform actions that he is not authorized to perform. This paper gives a broad survey of the current research progress on approaches used to detect access control vulnerabilities exploitations and attacks in web application components. It categorizes these approaches based on their key techniques and compares the different detection methods in addition to evaluating their strengths and weaknesses. We also spotted and elaborated on some exciting research gaps found in the current literature, Finally, the paper summarizes the general detection approaches and suggests potential research directions for the future.","container-title":"International Journal of Electrical and Computer Engineering (IJECE)","DOI":"10.11591/ijece.v14i1.pp772-781","ISSN":"2722-2578","issue":"1","language":"en","license":"Copyright (c) 2024 Ahmed Anas, Salwa Elgamal, Basheer Youssef","page":"772-781","source":"ijece.iaescore.com","title":"Survey on detecting and preventing web application broken access control attacks","volume":"14","author":[{"family":"Anas","given":"Ahmed"},{"family":"Elgamal","given":"Salwa"},{"family":"Youssef","given":"Basheer"}],"issued":{"date-parts":[["2024",2,1]]}}}],"schema":"https://github.com/citation-style-language/schema/raw/master/csl-citation.json"} </w:instrText>
      </w:r>
      <w:r w:rsidR="003318E3">
        <w:rPr>
          <w:lang w:val="en-ID"/>
        </w:rPr>
        <w:fldChar w:fldCharType="separate"/>
      </w:r>
      <w:r w:rsidR="003318E3" w:rsidRPr="003318E3">
        <w:t>[16]</w:t>
      </w:r>
      <w:r w:rsidR="003318E3">
        <w:rPr>
          <w:lang w:val="en-ID"/>
        </w:rPr>
        <w:fldChar w:fldCharType="end"/>
      </w:r>
      <w:r w:rsidRPr="00D01DC8">
        <w:rPr>
          <w:lang w:val="en-ID"/>
        </w:rPr>
        <w:t xml:space="preserve"> and object-level authorization </w:t>
      </w:r>
      <w:r w:rsidR="003318E3">
        <w:rPr>
          <w:lang w:val="en-ID"/>
        </w:rPr>
        <w:fldChar w:fldCharType="begin"/>
      </w:r>
      <w:r w:rsidR="003318E3">
        <w:rPr>
          <w:lang w:val="en-ID"/>
        </w:rPr>
        <w:instrText xml:space="preserve"> ADDIN ZOTERO_ITEM CSL_CITATION {"citationID":"VXRTysUH","properties":{"unsorted":false,"formattedCitation":"[17]","plainCitation":"[17]","noteIndex":0},"citationItems":[{"id":106,"uris":["http://zotero.org/users/20449755/items/7YG6XL42"],"itemData":{"id":106,"type":"paper-conference","abstract":"Broken object-level authorization (BOLA) vulnerabilities are among the most critical security risks facing database-backed applications. However, there is still a significant gap in our systematic understanding of these vulnerabilities. To bridge this gap, we conducted an in-depth study of 101 real-world BOLA vulnerabilities from opensource applications. Our study revealed the four most common object-level authorization models in database-backed application.The insights gained from our study inspired the development of a new tool called BolaRay. This tool employs a combination of SQL and static analysis to automatically infer the distinct types of object-level authorization models, and subsequently verify whether existing implementations enforce appropriate checks for these models. We evaluated BolaRay using 25 popular database-backed applications, which led to the identification of 193 true vulnerabilities, including 178 vulnerabilities that have never been reported before, at a false positive rate of 21.86%. We reported all newly identified vulnerabilities to the corresponding maintainers. To date, 155 vulnerabilities have been confirmed, with 52 CVE IDs granted.","collection-title":"CCS '24","container-title":"Proceedings of the 2024 on ACM SIGSAC Conference on Computer and Communications Security","DOI":"10.1145/3658644.3690227","ISBN":"979-8-4007-0636-3","page":"2934–2948","publisher":"Association for Computing Machinery","publisher-place":"New York, NY, USA","source":"ACM Digital Library","title":"Detecting Broken Object-Level Authorization Vulnerabilities in Database-Backed Applications","URL":"https://dl.acm.org/doi/10.1145/3658644.3690227","author":[{"family":"Huang","given":"Yongheng"},{"family":"Shi","given":"Chenghang"},{"family":"Lu","given":"Jie"},{"family":"Li","given":"Haofeng"},{"family":"Meng","given":"Haining"},{"family":"Li","given":"Lian"}],"accessed":{"date-parts":[["2026",5,11]]},"issued":{"date-parts":[["2024",12,9]]}}}],"schema":"https://github.com/citation-style-language/schema/raw/master/csl-citation.json"} </w:instrText>
      </w:r>
      <w:r w:rsidR="003318E3">
        <w:rPr>
          <w:lang w:val="en-ID"/>
        </w:rPr>
        <w:fldChar w:fldCharType="separate"/>
      </w:r>
      <w:r w:rsidR="003318E3" w:rsidRPr="003318E3">
        <w:t>[17]</w:t>
      </w:r>
      <w:r w:rsidR="003318E3">
        <w:rPr>
          <w:lang w:val="en-ID"/>
        </w:rPr>
        <w:fldChar w:fldCharType="end"/>
      </w:r>
      <w:r w:rsidRPr="00D01DC8">
        <w:rPr>
          <w:lang w:val="en-ID"/>
        </w:rPr>
        <w:t xml:space="preserve"> highlight the importance of the application-specific authorization semantics. Password cracking studies distinguish between brute-force and dictionary attacks </w:t>
      </w:r>
      <w:r w:rsidR="003318E3">
        <w:rPr>
          <w:lang w:val="en-ID"/>
        </w:rPr>
        <w:fldChar w:fldCharType="begin"/>
      </w:r>
      <w:r w:rsidR="003318E3">
        <w:rPr>
          <w:lang w:val="en-ID"/>
        </w:rPr>
        <w:instrText xml:space="preserve"> ADDIN ZOTERO_ITEM CSL_CITATION {"citationID":"6gGdz1tw","properties":{"unsorted":false,"formattedCitation":"[18]","plainCitation":"[18]","noteIndex":0},"citationItems":[{"id":86,"uris":["http://zotero.org/users/20449755/items/RTVIUM52"],"itemData":{"id":86,"type":"article-journal","abstract":"Studying password-cracking techniques is essential in the information security discipline as it highlights the vulnerability of weak passwords and the need for stronger security measures to protect sensitive information. While both methods aim to uncover passwords, both approach the task in different ways. A brute force algorithm generates all possible combinations of characters in a specified range and length, while the dictionary attack checks against a predefined word list. This study compares the efficiency of these methods using parallel versions of Python, C++, and Hashcat. The results show that the NVIDIA GeForce GTX 1050 Ti with CUDA is significantly faster than the Intel(R) HD Graphics 630 GPU for cracking passwords, with a speedup of 11.5× and 10.4× for passwords with and without special characters, respectively. Special characters increase password-cracking time, making the process more challenging. The results of our implementation indicate that parallel processing greatly improves the speed of password-cracking techniques. The brute force algorithm achieved a speedup of 1.9× with six cores, while the dictionary attack showed a speedup of 4.4× with eight-core static scheduling. Studying password-cracking techniques highlights the need for stronger security measures to protect sensitive information and the vulnerability of weak passwords.","container-title":"Applied Sciences","DOI":"10.3390/app13105979","ISSN":"2076-3417","issue":"10","language":"en","license":"http://creativecommons.org/licenses/by/3.0/","page":"5979","publisher":"Multidisciplinary Digital Publishing Institute","source":"www.mdpi.com","title":"Password Cracking with Brute Force Algorithm and Dictionary Attack Using Parallel Programming","volume":"13","author":[{"family":"Alkhwaja","given":"Ibrahim"},{"family":"Albugami","given":"Mohammed"},{"family":"Alkhwaja","given":"Ali"},{"family":"Alghamdi","given":"Mohammed"},{"family":"Abahussain","given":"Hussam"},{"family":"Alfawaz","given":"Faisal"},{"family":"Almurayh","given":"Abdullah"},{"family":"Min-Allah","given":"Nasro"}],"issued":{"date-parts":[["2023",1]]}}}],"schema":"https://github.com/citation-style-language/schema/raw/master/csl-citation.json"} </w:instrText>
      </w:r>
      <w:r w:rsidR="003318E3">
        <w:rPr>
          <w:lang w:val="en-ID"/>
        </w:rPr>
        <w:fldChar w:fldCharType="separate"/>
      </w:r>
      <w:r w:rsidR="003318E3" w:rsidRPr="003318E3">
        <w:t>[18]</w:t>
      </w:r>
      <w:r w:rsidR="003318E3">
        <w:rPr>
          <w:lang w:val="en-ID"/>
        </w:rPr>
        <w:fldChar w:fldCharType="end"/>
      </w:r>
      <w:r w:rsidRPr="00D01DC8">
        <w:rPr>
          <w:lang w:val="en-ID"/>
        </w:rPr>
        <w:t>, while the credentials used in this work exploit sandboxed applications and not an offline password cracking performance benchmark. It is impossible to make conclusions about cross-task generalization.</w:t>
      </w:r>
    </w:p>
    <w:p w14:paraId="48F19CE9" w14:textId="273007FD" w:rsidR="00154674" w:rsidRPr="00DB6548" w:rsidRDefault="00D01DC8" w:rsidP="00990A93">
      <w:pPr>
        <w:spacing w:line="228" w:lineRule="auto"/>
        <w:ind w:firstLine="289"/>
        <w:rPr>
          <w:lang w:val="en-ID"/>
        </w:rPr>
      </w:pPr>
      <w:r w:rsidRPr="00D01DC8">
        <w:rPr>
          <w:lang w:val="en-ID"/>
        </w:rPr>
        <w:t xml:space="preserve">LLM guardrails are comprised of two parts, namely model </w:t>
      </w:r>
      <w:proofErr w:type="spellStart"/>
      <w:r w:rsidRPr="00D01DC8">
        <w:rPr>
          <w:lang w:val="en-ID"/>
        </w:rPr>
        <w:t>behavior</w:t>
      </w:r>
      <w:proofErr w:type="spellEnd"/>
      <w:r w:rsidRPr="00D01DC8">
        <w:rPr>
          <w:lang w:val="en-ID"/>
        </w:rPr>
        <w:t xml:space="preserve"> and controls around the deployed system </w:t>
      </w:r>
      <w:r w:rsidR="00447C57">
        <w:rPr>
          <w:lang w:val="en-ID"/>
        </w:rPr>
        <w:fldChar w:fldCharType="begin"/>
      </w:r>
      <w:r w:rsidR="00447C57">
        <w:rPr>
          <w:lang w:val="en-ID"/>
        </w:rPr>
        <w:instrText xml:space="preserve"> ADDIN ZOTERO_ITEM CSL_CITATION {"citationID":"aOHJg3K0","properties":{"unsorted":false,"formattedCitation":"[19]","plainCitation":"[19]","noteIndex":0},"citationItems":[{"id":120,"uris":["http://zotero.org/users/20449755/items/IGWWFWL9"],"itemData":{"id":120,"type":"article-journal","abstract":"In the burgeoning field of Large Language Models (LLMs), developing a robust safety mechanism, colloquially known as “safeguards” or “guardrails”, has become imperative to ensure the ethical use of LLMs within prescribed boundaries. This article provides a systematic literature review on the current status of this critical mechanism. It discusses its major challenges and how it can be enhanced into a comprehensive mechanism dealing with ethical issues in various contexts. First, the paper elucidates the current landscape of safeguarding mechanisms that major LLM service providers and the open-source community employ. This is followed by the techniques to evaluate, analyze, and enhance some (un)desirable properties that a guardrail might want to enforce, such as hallucinations, fairness, privacy, and so on. Based on them, we review techniques to circumvent these controls (i.e., attacks), to defend the attacks, and to reinforce the guardrails. While the techniques mentioned above represent the current status and the active research trends, we also discuss several challenges that cannot be easily dealt with by the methods and present our vision on how to implement a comprehensive guardrail through the full consideration of multi-disciplinary approach, neural-symbolic method, and systems development lifecycle.","container-title":"Artificial Intelligence Review","DOI":"10.1007/s10462-025-11389-2","ISSN":"1573-7462","issue":"12","journalAbbreviation":"Artif Intell Rev","language":"en","page":"382","source":"Springer Link","title":"Safeguarding large language models: a survey","title-short":"Safeguarding large language models","volume":"58","author":[{"family":"Dong","given":"Yi"},{"family":"Mu","given":"Ronghui"},{"family":"Zhang","given":"Yanghao"},{"family":"Sun","given":"Siqi"},{"family":"Zhang","given":"Tianle"},{"family":"Wu","given":"Changshun"},{"family":"Jin","given":"Gaojie"},{"family":"Qi","given":"Yi"},{"family":"Hu","given":"Jinwei"},{"family":"Meng","given":"Jie"},{"family":"Bensalem","given":"Saddek"},{"family":"Huang","given":"Xiaowei"}],"issued":{"date-parts":[["2025",10,17]]}}}],"schema":"https://github.com/citation-style-language/schema/raw/master/csl-citation.json"} </w:instrText>
      </w:r>
      <w:r w:rsidR="00447C57">
        <w:rPr>
          <w:lang w:val="en-ID"/>
        </w:rPr>
        <w:fldChar w:fldCharType="separate"/>
      </w:r>
      <w:r w:rsidR="00447C57" w:rsidRPr="00447C57">
        <w:t>[19]</w:t>
      </w:r>
      <w:r w:rsidR="00447C57">
        <w:rPr>
          <w:lang w:val="en-ID"/>
        </w:rPr>
        <w:fldChar w:fldCharType="end"/>
      </w:r>
      <w:r w:rsidRPr="00D01DC8">
        <w:rPr>
          <w:lang w:val="en-ID"/>
        </w:rPr>
        <w:t xml:space="preserve">. They can also create the trade-off between security and utility </w:t>
      </w:r>
      <w:r w:rsidR="00447C57">
        <w:rPr>
          <w:lang w:val="en-ID"/>
        </w:rPr>
        <w:fldChar w:fldCharType="begin"/>
      </w:r>
      <w:r w:rsidR="00447C57">
        <w:rPr>
          <w:lang w:val="en-ID"/>
        </w:rPr>
        <w:instrText xml:space="preserve"> ADDIN ZOTERO_ITEM CSL_CITATION {"citationID":"draHhG69","properties":{"unsorted":false,"formattedCitation":"[20]","plainCitation":"[20]","noteIndex":0},"citationItems":[{"id":55,"uris":["http://zotero.org/users/20449755/items/WUASNMID"],"itemData":{"id":55,"type":"article","abstract":"As large language models (LLMs) and generative AI become widely adopted, guardrails have emerged as a key tool to ensure their safe use. However, adding guardrails isn't without tradeoffs; stronger security measures can reduce usability, while more flexible systems may leave gaps for adversarial attacks. In this work, we explore whether current guardrails effectively prevent misuse while maintaining practical utility. We introduce a framework to evaluate these tradeoffs, measuring how different guardrails balance risk, security, and usability, and build an efficient guardrail. Our findings confirm that there is no free lunch with guardrails; strengthening security often comes at the cost of usability. To address this, we propose a blueprint for designing better guardrails that minimize risk while maintaining usability. We evaluate various industry guardrails, including Azure Content Safety, Bedrock Guardrails, OpenAI's Moderation API, Guardrails AI, Nemo Guardrails, and Enkrypt AI guardrails. Additionally, we assess how LLMs like GPT-4o, Gemini 2.0-Flash, Claude 3.5-Sonnet, and Mistral Large-Latest respond under different system prompts, including simple prompts, detailed prompts, and detailed prompts with chain-of-thought (CoT) reasoning. Our study provides a clear comparison of how different guardrails perform, highlighting the challenges in balancing security and usability.","DOI":"10.48550/arXiv.2504.00441","note":"arXiv:2504.00441 [cs]","number":"arXiv:2504.00441","publisher":"arXiv","source":"arXiv.org","title":"No Free Lunch with Guardrails","URL":"http://arxiv.org/abs/2504.00441","author":[{"family":"Kumar","given":"Divyanshu"},{"family":"Birur","given":"Nitin Aravind"},{"family":"Baswa","given":"Tanay"},{"family":"Agarwal","given":"Sahil"},{"family":"Harshangi","given":"Prashanth"}],"accessed":{"date-parts":[["2026",5,9]]},"issued":{"date-parts":[["2025",4,3]]}}}],"schema":"https://github.com/citation-style-language/schema/raw/master/csl-citation.json"} </w:instrText>
      </w:r>
      <w:r w:rsidR="00447C57">
        <w:rPr>
          <w:lang w:val="en-ID"/>
        </w:rPr>
        <w:fldChar w:fldCharType="separate"/>
      </w:r>
      <w:r w:rsidR="00447C57" w:rsidRPr="00447C57">
        <w:t>[20]</w:t>
      </w:r>
      <w:r w:rsidR="00447C57">
        <w:rPr>
          <w:lang w:val="en-ID"/>
        </w:rPr>
        <w:fldChar w:fldCharType="end"/>
      </w:r>
      <w:r w:rsidRPr="00D01DC8">
        <w:rPr>
          <w:lang w:val="en-ID"/>
        </w:rPr>
        <w:t>. Thus, the current research classifies the events into provider refusals, invalid candidates, and HTTP targets. Lack of provider refusals cannot be regarded as evidence of the security in general, while successful blocking at the execution boundary is another observable containment result</w:t>
      </w:r>
      <w:r w:rsidR="00C17FCF" w:rsidRPr="00C17FCF">
        <w:rPr>
          <w:lang w:val="en-ID"/>
        </w:rPr>
        <w:t>.</w:t>
      </w:r>
    </w:p>
    <w:p w14:paraId="781D6C49" w14:textId="19C902E2" w:rsidR="00154674" w:rsidRPr="00DB6548" w:rsidRDefault="00BA393B">
      <w:pPr>
        <w:pStyle w:val="Heading1"/>
        <w:jc w:val="center"/>
      </w:pPr>
      <w:r w:rsidRPr="00DB6548">
        <w:t>III.</w:t>
      </w:r>
      <w:r w:rsidR="00262675" w:rsidRPr="00DB6548">
        <w:t xml:space="preserve"> Research Methodology</w:t>
      </w:r>
    </w:p>
    <w:tbl>
      <w:tblPr>
        <w:tblpPr w:topFromText="100" w:bottomFromText="100" w:horzAnchor="margin" w:tblpX="1" w:tblpYSpec="bottom"/>
        <w:tblOverlap w:val="never"/>
        <w:tblW w:w="1009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092"/>
      </w:tblGrid>
      <w:tr w:rsidR="00F61298" w14:paraId="6CF69F32" w14:textId="77777777">
        <w:trPr>
          <w:cantSplit/>
        </w:trPr>
        <w:tc>
          <w:tcPr>
            <w:tcW w:w="10092" w:type="dxa"/>
          </w:tcPr>
          <w:p w14:paraId="77B5C796" w14:textId="2890ED6A" w:rsidR="00154674" w:rsidRPr="00517D64" w:rsidRDefault="001F5B29">
            <w:pPr>
              <w:keepNext/>
              <w:spacing w:line="240" w:lineRule="auto"/>
              <w:ind w:firstLine="0"/>
              <w:jc w:val="center"/>
              <w:rPr>
                <w:color w:val="auto"/>
              </w:rPr>
            </w:pPr>
            <w:r w:rsidRPr="00517D64">
              <w:rPr>
                <w:noProof/>
                <w:color w:val="auto"/>
              </w:rPr>
              <w:drawing>
                <wp:inline distT="0" distB="0" distL="0" distR="0" wp14:anchorId="6D261C1E" wp14:editId="5107CB07">
                  <wp:extent cx="6093472" cy="2918128"/>
                  <wp:effectExtent l="0" t="0" r="2540" b="0"/>
                  <wp:docPr id="201542058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20580" name="Picture 1" descr="A diagram of a software company&#10;&#10;AI-generated content may be incorrect."/>
                          <pic:cNvPicPr/>
                        </pic:nvPicPr>
                        <pic:blipFill>
                          <a:blip r:embed="rId12"/>
                          <a:stretch>
                            <a:fillRect/>
                          </a:stretch>
                        </pic:blipFill>
                        <pic:spPr>
                          <a:xfrm>
                            <a:off x="0" y="0"/>
                            <a:ext cx="6111495" cy="2926759"/>
                          </a:xfrm>
                          <a:prstGeom prst="rect">
                            <a:avLst/>
                          </a:prstGeom>
                        </pic:spPr>
                      </pic:pic>
                    </a:graphicData>
                  </a:graphic>
                </wp:inline>
              </w:drawing>
            </w:r>
          </w:p>
          <w:p w14:paraId="06BBC80F" w14:textId="77777777" w:rsidR="00F61298" w:rsidRPr="00517D64" w:rsidRDefault="004822B7">
            <w:pPr>
              <w:pStyle w:val="figurecaption"/>
              <w:keepLines/>
              <w:spacing w:before="60" w:after="60"/>
              <w:rPr>
                <w:color w:val="auto"/>
              </w:rPr>
            </w:pPr>
            <w:r w:rsidRPr="00517D64">
              <w:rPr>
                <w:color w:val="auto"/>
              </w:rPr>
              <w:t>Fig. 1. Static AKG. Dashed links denote designed follow-ups requiring separate execution evidence.</w:t>
            </w:r>
          </w:p>
        </w:tc>
      </w:tr>
    </w:tbl>
    <w:p w14:paraId="4C462066" w14:textId="77777777" w:rsidR="00F61298" w:rsidRDefault="00F61298">
      <w:pPr>
        <w:spacing w:after="0" w:line="20" w:lineRule="exact"/>
        <w:ind w:firstLine="0"/>
      </w:pPr>
    </w:p>
    <w:p w14:paraId="3955BDCD" w14:textId="6049053C" w:rsidR="00F61298" w:rsidRDefault="004822B7">
      <w:pPr>
        <w:pStyle w:val="Heading2"/>
        <w:rPr>
          <w:iCs w:val="0"/>
        </w:rPr>
      </w:pPr>
      <w:r>
        <w:t xml:space="preserve">A. </w:t>
      </w:r>
      <w:r w:rsidRPr="00FC21B0">
        <w:rPr>
          <w:color w:val="auto"/>
        </w:rPr>
        <w:t xml:space="preserve">Framework </w:t>
      </w:r>
      <w:r>
        <w:t>Architecture</w:t>
      </w:r>
    </w:p>
    <w:p w14:paraId="295F25A9" w14:textId="0118F530" w:rsidR="00F61298" w:rsidRPr="000F256B" w:rsidRDefault="000F256B">
      <w:pPr>
        <w:spacing w:line="228" w:lineRule="auto"/>
        <w:ind w:firstLine="289"/>
        <w:rPr>
          <w:color w:val="auto"/>
        </w:rPr>
      </w:pPr>
      <w:r w:rsidRPr="000F256B">
        <w:rPr>
          <w:color w:val="auto"/>
        </w:rPr>
        <w:t xml:space="preserve">This architecture coordinates the test process involving an LLM in a sandbox environment containing the local DVWA 2.5. Common services control session management, HTTP requests, reconnaissance, payload seeding, validation, and verification. For the AKG-guided condition, a static Attack Knowledge Graph contains method profiles and constraints to guide the method selection process. LangGraph maintains the execution state, while the </w:t>
      </w:r>
      <w:proofErr w:type="gramStart"/>
      <w:r w:rsidRPr="000F256B">
        <w:rPr>
          <w:color w:val="auto"/>
        </w:rPr>
        <w:t>provider abstraction</w:t>
      </w:r>
      <w:proofErr w:type="gramEnd"/>
      <w:r w:rsidRPr="000F256B">
        <w:rPr>
          <w:color w:val="auto"/>
        </w:rPr>
        <w:t xml:space="preserve"> abstracts the input and output format of models. </w:t>
      </w:r>
      <w:r w:rsidR="00AA4A8D">
        <w:rPr>
          <w:color w:val="auto"/>
        </w:rPr>
        <w:t xml:space="preserve">Fig. </w:t>
      </w:r>
      <w:r w:rsidRPr="000F256B">
        <w:rPr>
          <w:color w:val="auto"/>
        </w:rPr>
        <w:t xml:space="preserve">1 shows the Attack Knowledge Graph structure, while </w:t>
      </w:r>
      <w:r w:rsidR="00AA4A8D">
        <w:rPr>
          <w:color w:val="auto"/>
        </w:rPr>
        <w:t>Fig.</w:t>
      </w:r>
      <w:r w:rsidR="001B1CF6" w:rsidRPr="001B1CF6">
        <w:rPr>
          <w:color w:val="auto"/>
        </w:rPr>
        <w:t xml:space="preserve"> 2 shows the AKG-guided workflow; the Linear baseline retains hybrid payload construction, validation, and evidence verification without AKG guidance.</w:t>
      </w:r>
      <w:r w:rsidRPr="000F256B">
        <w:rPr>
          <w:color w:val="auto"/>
        </w:rPr>
        <w:t xml:space="preserve"> This implementation uses </w:t>
      </w:r>
      <w:proofErr w:type="spellStart"/>
      <w:r w:rsidRPr="000F256B">
        <w:rPr>
          <w:color w:val="auto"/>
        </w:rPr>
        <w:t>NetworkX</w:t>
      </w:r>
      <w:proofErr w:type="spellEnd"/>
      <w:r w:rsidRPr="000F256B">
        <w:rPr>
          <w:color w:val="auto"/>
        </w:rPr>
        <w:t xml:space="preserve"> </w:t>
      </w:r>
      <w:proofErr w:type="spellStart"/>
      <w:r w:rsidRPr="000F256B">
        <w:rPr>
          <w:color w:val="auto"/>
        </w:rPr>
        <w:t>DiGraph</w:t>
      </w:r>
      <w:proofErr w:type="spellEnd"/>
      <w:r w:rsidRPr="000F256B">
        <w:rPr>
          <w:color w:val="auto"/>
        </w:rPr>
        <w:t xml:space="preserve">, LangGraph, </w:t>
      </w:r>
      <w:proofErr w:type="spellStart"/>
      <w:r w:rsidRPr="000F256B">
        <w:rPr>
          <w:color w:val="auto"/>
        </w:rPr>
        <w:t>LangChain</w:t>
      </w:r>
      <w:proofErr w:type="spellEnd"/>
      <w:r w:rsidRPr="000F256B">
        <w:rPr>
          <w:color w:val="auto"/>
        </w:rPr>
        <w:t xml:space="preserve">, </w:t>
      </w:r>
      <w:proofErr w:type="spellStart"/>
      <w:r w:rsidRPr="000F256B">
        <w:rPr>
          <w:color w:val="auto"/>
        </w:rPr>
        <w:t>httpx</w:t>
      </w:r>
      <w:proofErr w:type="spellEnd"/>
      <w:r w:rsidRPr="000F256B">
        <w:rPr>
          <w:color w:val="auto"/>
        </w:rPr>
        <w:t>, and BeautifulSoup4 in Python.</w:t>
      </w:r>
    </w:p>
    <w:p w14:paraId="523B609B" w14:textId="7380B953" w:rsidR="00603AFC" w:rsidRPr="00603AFC" w:rsidRDefault="00603AFC" w:rsidP="00603AFC">
      <w:pPr>
        <w:spacing w:line="228" w:lineRule="auto"/>
        <w:ind w:firstLine="289"/>
        <w:rPr>
          <w:color w:val="auto"/>
        </w:rPr>
      </w:pPr>
      <w:r w:rsidRPr="00603AFC">
        <w:rPr>
          <w:color w:val="auto"/>
        </w:rPr>
        <w:lastRenderedPageBreak/>
        <w:t>Fig. 1 illustrates the entry, surface, method, confirmed, and outcome nodes. Entry refers to the conceptual starting state and is not an unverified HTTP session. Surface nodes include SQL injection, access control, and brute force, whereas method nodes refer to available tests. Confirmed nodes represent evidence-supported findings, whereas the outcome nodes represent results that can be used in further steps. The graph and the method agents are pre-defined before the experiment begins. The LLM is not allowed to define any nodes, edges, or agents during runtime. A defined relationship refers to a potential next step that depends on other pieces of evidence.</w:t>
      </w:r>
    </w:p>
    <w:p w14:paraId="7396A448" w14:textId="5C84E849" w:rsidR="00F61298" w:rsidRPr="00603AFC" w:rsidRDefault="00603AFC" w:rsidP="00603AFC">
      <w:pPr>
        <w:spacing w:line="228" w:lineRule="auto"/>
        <w:ind w:firstLine="289"/>
        <w:rPr>
          <w:color w:val="auto"/>
        </w:rPr>
      </w:pPr>
      <w:r w:rsidRPr="00603AFC">
        <w:rPr>
          <w:color w:val="auto"/>
        </w:rPr>
        <w:t xml:space="preserve">There are nine registered methods that include four SQL injection methods (UNION-based, error-based, </w:t>
      </w:r>
      <w:proofErr w:type="spellStart"/>
      <w:r w:rsidRPr="00603AFC">
        <w:rPr>
          <w:color w:val="auto"/>
        </w:rPr>
        <w:t>boolean</w:t>
      </w:r>
      <w:proofErr w:type="spellEnd"/>
      <w:r w:rsidRPr="00603AFC">
        <w:rPr>
          <w:color w:val="auto"/>
        </w:rPr>
        <w:t>-blind, and time-based blind), three access control methods (IDOR, vertical privilege escalation, and forced browsing), and two brute force methods (dictionary attack and password spraying). Each method profile includes prerequisites, seed references, permitted mutations, validation criteria, expected signals, budget, and provenance criteria. Availability in the graph does not automatically imply applicability for all security levels. Fixed method agents are responsible for execution and validation.</w:t>
      </w:r>
    </w:p>
    <w:p w14:paraId="7529598F" w14:textId="77777777" w:rsidR="00F61298" w:rsidRPr="005C4F47" w:rsidRDefault="004822B7">
      <w:pPr>
        <w:pStyle w:val="Heading2"/>
        <w:rPr>
          <w:iCs w:val="0"/>
          <w:color w:val="auto"/>
        </w:rPr>
      </w:pPr>
      <w:r w:rsidRPr="005C4F47">
        <w:rPr>
          <w:color w:val="auto"/>
        </w:rPr>
        <w:t>B. Execution Workflow and Evidence Verification</w:t>
      </w:r>
    </w:p>
    <w:p w14:paraId="4E5DC972" w14:textId="7E0CE8E4" w:rsidR="00F61298" w:rsidRPr="00F876FD" w:rsidRDefault="00F876FD">
      <w:pPr>
        <w:spacing w:line="228" w:lineRule="auto"/>
        <w:ind w:firstLine="289"/>
        <w:rPr>
          <w:color w:val="auto"/>
        </w:rPr>
      </w:pPr>
      <w:r w:rsidRPr="00F876FD">
        <w:rPr>
          <w:color w:val="auto"/>
        </w:rPr>
        <w:t xml:space="preserve">Each run begins with its model, condition, DVWA security level, surface, and repetition identity. The readiness tests include checking the availability of the target, status of the session, required security level, and necessary endpoint data before reconnaissance. If a readiness test fails, then this is recorded as an </w:t>
      </w:r>
      <w:proofErr w:type="gramStart"/>
      <w:r w:rsidRPr="00F876FD">
        <w:rPr>
          <w:color w:val="auto"/>
        </w:rPr>
        <w:t>environment</w:t>
      </w:r>
      <w:proofErr w:type="gramEnd"/>
      <w:r w:rsidRPr="00F876FD">
        <w:rPr>
          <w:color w:val="auto"/>
        </w:rPr>
        <w:t xml:space="preserve"> issue. Observations obtained are used for selecting a method. AKG-guided selection utilizes the graph preconditions, while linear selection provides the baseline without AKG-based selection. The selection is documented along with its source and the observations known at that point in time.</w:t>
      </w:r>
    </w:p>
    <w:p w14:paraId="0547DEE9" w14:textId="77777777" w:rsidR="00C616E9" w:rsidRPr="0006487F" w:rsidRDefault="00C616E9" w:rsidP="00C616E9">
      <w:pPr>
        <w:spacing w:line="228" w:lineRule="auto"/>
        <w:ind w:firstLine="289"/>
        <w:rPr>
          <w:color w:val="auto"/>
        </w:rPr>
      </w:pPr>
      <w:r w:rsidRPr="0006487F">
        <w:rPr>
          <w:color w:val="auto"/>
        </w:rPr>
        <w:t>Hybrid payload creation involves using validated static seeds and structured large language model (LLM) variations in the chosen method profile and candidate budget. Validation involves checking completeness, alignment between the method and its parameters, acceptable mutations, provenance, duplications, and DVWA scope before executing the run. Candidate logs contain seed name, mutation used, target information, predicted output, and validation result. Failures to accept candidate, invalid responses, retry count, rejects, static validated fallbacks represent separate events. Candidates that have been refused or are not executed stay identifiable. Logs of non-executed candidates are, however, not included in the calculation of number of executed candidates.</w:t>
      </w:r>
    </w:p>
    <w:p w14:paraId="22BD302F" w14:textId="46168215" w:rsidR="00F61298" w:rsidRPr="0006487F" w:rsidRDefault="00C616E9" w:rsidP="0006487F">
      <w:pPr>
        <w:spacing w:line="228" w:lineRule="auto"/>
        <w:ind w:firstLine="289"/>
        <w:rPr>
          <w:color w:val="auto"/>
        </w:rPr>
      </w:pPr>
      <w:r w:rsidRPr="0006487F">
        <w:rPr>
          <w:color w:val="auto"/>
        </w:rPr>
        <w:t xml:space="preserve">Static agents execute the accepted candidates and validate the responses, timings, evidence on access or authentication against specified independent controls (refer Fig. 2). </w:t>
      </w:r>
      <w:proofErr w:type="gramStart"/>
      <w:r w:rsidRPr="0006487F">
        <w:rPr>
          <w:color w:val="auto"/>
        </w:rPr>
        <w:t>Proof</w:t>
      </w:r>
      <w:proofErr w:type="gramEnd"/>
      <w:r w:rsidRPr="0006487F">
        <w:rPr>
          <w:color w:val="auto"/>
        </w:rPr>
        <w:t xml:space="preserve"> using model claims and page markers is not enough. After verification of results, the router chooses another method to proceed according to the recorded state and configured thresholds. Chain continuation is only possible after verification of sources and completion of prerequisites. Runs would continue until there are no more methods to be used as per the configuration, cannot be continued further, environment fails constantly, or it has been cancelled</w:t>
      </w:r>
      <w:r w:rsidR="004822B7" w:rsidRPr="0006487F">
        <w:rPr>
          <w:color w:val="auto"/>
        </w:rPr>
        <w:t>.</w:t>
      </w:r>
    </w:p>
    <w:p w14:paraId="1ED18A2A" w14:textId="0353595D" w:rsidR="00B90066" w:rsidRPr="00775BBD" w:rsidRDefault="00B90066" w:rsidP="00B90066">
      <w:pPr>
        <w:spacing w:line="228" w:lineRule="auto"/>
        <w:ind w:firstLine="289"/>
        <w:rPr>
          <w:color w:val="auto"/>
        </w:rPr>
      </w:pPr>
      <w:r w:rsidRPr="00775BBD">
        <w:rPr>
          <w:color w:val="auto"/>
        </w:rPr>
        <w:t xml:space="preserve">Independent validation relies on the claimed result. Access Control needs a permission control which corresponds to the </w:t>
      </w:r>
      <w:proofErr w:type="gramStart"/>
      <w:r w:rsidRPr="00775BBD">
        <w:rPr>
          <w:color w:val="auto"/>
        </w:rPr>
        <w:t>principal</w:t>
      </w:r>
      <w:proofErr w:type="gramEnd"/>
      <w:r w:rsidRPr="00775BBD">
        <w:rPr>
          <w:color w:val="auto"/>
        </w:rPr>
        <w:t xml:space="preserve">, object, action, session, and fixture for both allowed and denied instances. Brute Force implies a need to start a new authentic session with a validated identity; a mere session or page marker is not enough. SQL Injection requires the utilization of control mechanisms appropriate to selected </w:t>
      </w:r>
      <w:r w:rsidR="00775BBD" w:rsidRPr="00775BBD">
        <w:rPr>
          <w:color w:val="auto"/>
        </w:rPr>
        <w:t>techniques</w:t>
      </w:r>
      <w:r w:rsidRPr="00775BBD">
        <w:rPr>
          <w:color w:val="auto"/>
        </w:rPr>
        <w:t>. References for evidence relate the claimant, response, and verifier decision together with corresponding controls. Partial validation reduces strength of confirmation.</w:t>
      </w:r>
    </w:p>
    <w:p w14:paraId="24DE0D7B" w14:textId="74E97030" w:rsidR="00F61298" w:rsidRPr="00775BBD" w:rsidRDefault="00B90066" w:rsidP="00B90066">
      <w:pPr>
        <w:spacing w:line="228" w:lineRule="auto"/>
        <w:ind w:firstLine="289"/>
        <w:rPr>
          <w:color w:val="auto"/>
        </w:rPr>
      </w:pPr>
      <w:r w:rsidRPr="00775BBD">
        <w:rPr>
          <w:color w:val="auto"/>
        </w:rPr>
        <w:t xml:space="preserve">The terminal record identifies a normal completion, failure during execution, provider failure, and user interruption. Security results are independently divided into validated outcomes, verified negative evidence, unconfirmed signals, and fixture constrained decisions. Methods that consume all their budget without confirmation may finish normally. </w:t>
      </w:r>
      <w:r w:rsidRPr="00517D64">
        <w:rPr>
          <w:color w:val="auto"/>
        </w:rPr>
        <w:t>Unavailable control does not resolve the related conclusion but does not produce a negative result either</w:t>
      </w:r>
      <w:r w:rsidRPr="00775BBD">
        <w:rPr>
          <w:color w:val="auto"/>
        </w:rPr>
        <w:t xml:space="preserve">. Evaluation status shows whether the required </w:t>
      </w:r>
      <w:proofErr w:type="gramStart"/>
      <w:r w:rsidRPr="00775BBD">
        <w:rPr>
          <w:color w:val="auto"/>
        </w:rPr>
        <w:t>confirm</w:t>
      </w:r>
      <w:proofErr w:type="gramEnd"/>
      <w:r w:rsidRPr="00775BBD">
        <w:rPr>
          <w:color w:val="auto"/>
        </w:rPr>
        <w:t xml:space="preserve"> </w:t>
      </w:r>
      <w:proofErr w:type="gramStart"/>
      <w:r w:rsidRPr="00775BBD">
        <w:rPr>
          <w:color w:val="auto"/>
        </w:rPr>
        <w:t>final result</w:t>
      </w:r>
      <w:proofErr w:type="gramEnd"/>
      <w:r w:rsidRPr="00775BBD">
        <w:rPr>
          <w:color w:val="auto"/>
        </w:rPr>
        <w:t xml:space="preserve"> scores.</w:t>
      </w:r>
    </w:p>
    <w:tbl>
      <w:tblPr>
        <w:tblpPr w:topFromText="100" w:bottomFromText="100" w:horzAnchor="margin" w:tblpX="1" w:tblpYSpec="top"/>
        <w:tblOverlap w:val="never"/>
        <w:tblW w:w="1009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092"/>
      </w:tblGrid>
      <w:tr w:rsidR="00F61298" w14:paraId="32D5650A" w14:textId="77777777" w:rsidTr="0091609E">
        <w:trPr>
          <w:cantSplit/>
          <w:trHeight w:val="2127"/>
        </w:trPr>
        <w:tc>
          <w:tcPr>
            <w:tcW w:w="10092" w:type="dxa"/>
          </w:tcPr>
          <w:p w14:paraId="75B7E366" w14:textId="2B1BD222" w:rsidR="00154674" w:rsidRPr="00517D64" w:rsidRDefault="00BF3434">
            <w:pPr>
              <w:keepNext/>
              <w:spacing w:line="240" w:lineRule="auto"/>
              <w:ind w:firstLine="0"/>
              <w:jc w:val="center"/>
              <w:rPr>
                <w:color w:val="auto"/>
              </w:rPr>
            </w:pPr>
            <w:r w:rsidRPr="00517D64">
              <w:rPr>
                <w:noProof/>
                <w:color w:val="auto"/>
              </w:rPr>
              <w:drawing>
                <wp:inline distT="0" distB="0" distL="0" distR="0" wp14:anchorId="2771857F" wp14:editId="5050BC12">
                  <wp:extent cx="6400800" cy="1383527"/>
                  <wp:effectExtent l="0" t="0" r="0" b="7620"/>
                  <wp:docPr id="1780468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898"/>
                          <a:stretch>
                            <a:fillRect/>
                          </a:stretch>
                        </pic:blipFill>
                        <pic:spPr bwMode="auto">
                          <a:xfrm>
                            <a:off x="0" y="0"/>
                            <a:ext cx="6400800" cy="1383527"/>
                          </a:xfrm>
                          <a:prstGeom prst="rect">
                            <a:avLst/>
                          </a:prstGeom>
                          <a:noFill/>
                          <a:ln>
                            <a:noFill/>
                          </a:ln>
                          <a:extLst>
                            <a:ext uri="{53640926-AAD7-44D8-BBD7-CCE9431645EC}">
                              <a14:shadowObscured xmlns:a14="http://schemas.microsoft.com/office/drawing/2010/main"/>
                            </a:ext>
                          </a:extLst>
                        </pic:spPr>
                      </pic:pic>
                    </a:graphicData>
                  </a:graphic>
                </wp:inline>
              </w:drawing>
            </w:r>
          </w:p>
          <w:p w14:paraId="2A9BB758" w14:textId="4353D24E" w:rsidR="00F61298" w:rsidRPr="00517D64" w:rsidRDefault="004822B7">
            <w:pPr>
              <w:pStyle w:val="figurecaption"/>
              <w:keepLines/>
              <w:spacing w:before="60" w:after="60"/>
              <w:rPr>
                <w:color w:val="auto"/>
              </w:rPr>
            </w:pPr>
            <w:r w:rsidRPr="00517D64">
              <w:rPr>
                <w:color w:val="auto"/>
              </w:rPr>
              <w:t xml:space="preserve">Fig. 2. </w:t>
            </w:r>
            <w:r w:rsidR="006B0F1F" w:rsidRPr="00517D64">
              <w:rPr>
                <w:color w:val="auto"/>
              </w:rPr>
              <w:t>AKG-guided run workflow.</w:t>
            </w:r>
            <w:r w:rsidR="00517D64" w:rsidRPr="00517D64">
              <w:rPr>
                <w:color w:val="auto"/>
              </w:rPr>
              <w:t xml:space="preserve"> Bold headings identify individual components, whereas horizontal lines act as the separator between names and functionalities of each component. Dashed arrows represent guidance from AKG, solid arrows highlight transitions and communication with DVWA. Verification process occurs in the selected static method agent. The return loop indicates conditional selection of another method.</w:t>
            </w:r>
          </w:p>
        </w:tc>
      </w:tr>
    </w:tbl>
    <w:p w14:paraId="3F9201B5" w14:textId="77777777" w:rsidR="00F61298" w:rsidRDefault="00F61298">
      <w:pPr>
        <w:spacing w:after="0" w:line="20" w:lineRule="exact"/>
        <w:ind w:firstLine="0"/>
      </w:pPr>
    </w:p>
    <w:p w14:paraId="5F5844C2" w14:textId="77777777" w:rsidR="00F61298" w:rsidRPr="006E58D9" w:rsidRDefault="004822B7">
      <w:pPr>
        <w:pStyle w:val="Heading2"/>
        <w:rPr>
          <w:iCs w:val="0"/>
          <w:color w:val="auto"/>
        </w:rPr>
      </w:pPr>
      <w:r w:rsidRPr="006E58D9">
        <w:rPr>
          <w:color w:val="auto"/>
        </w:rPr>
        <w:t>C. Experimental Design and Controls</w:t>
      </w:r>
    </w:p>
    <w:p w14:paraId="5852B5AB" w14:textId="03ADACF6" w:rsidR="00F61298" w:rsidRPr="00BD5E3A" w:rsidRDefault="00BD5E3A">
      <w:pPr>
        <w:spacing w:line="228" w:lineRule="auto"/>
        <w:ind w:firstLine="289"/>
        <w:rPr>
          <w:color w:val="auto"/>
        </w:rPr>
      </w:pPr>
      <w:r w:rsidRPr="00BD5E3A">
        <w:rPr>
          <w:color w:val="auto"/>
        </w:rPr>
        <w:t>A coordinate consists of a model</w:t>
      </w:r>
      <w:r>
        <w:rPr>
          <w:color w:val="auto"/>
        </w:rPr>
        <w:t>,</w:t>
      </w:r>
      <w:r w:rsidRPr="00BD5E3A">
        <w:rPr>
          <w:color w:val="auto"/>
        </w:rPr>
        <w:t xml:space="preserve"> condition, security level, and surface (Table I). This design involves two models, two conditions, three security levels, three surfaces, and three repeats, resulting in 108 planned runs, that is, 27 runs per model-condition pair. Method choice happens during execution. These nine methods imply coverage and do not increase the number of coordinates. Forced-method executions serve a diagnostic purpose and lack a test of model-selection capability. In addition, the primary study involves hybrid payloads and </w:t>
      </w:r>
      <w:r w:rsidR="00E30610">
        <w:rPr>
          <w:color w:val="auto"/>
        </w:rPr>
        <w:t>manual</w:t>
      </w:r>
      <w:r w:rsidRPr="00BD5E3A">
        <w:rPr>
          <w:color w:val="auto"/>
        </w:rPr>
        <w:t xml:space="preserve"> evaluation. A template-only mode of operation is out of the scope of this research</w:t>
      </w:r>
      <w:r w:rsidR="004822B7" w:rsidRPr="00BD5E3A">
        <w:rPr>
          <w:color w:val="auto"/>
        </w:rPr>
        <w:t>.</w:t>
      </w:r>
    </w:p>
    <w:p w14:paraId="7810503D" w14:textId="77777777" w:rsidR="00F61298" w:rsidRPr="0073210A" w:rsidRDefault="004822B7">
      <w:pPr>
        <w:pStyle w:val="tablehead"/>
        <w:keepNext/>
        <w:keepLines/>
        <w:spacing w:before="80" w:after="100"/>
        <w:rPr>
          <w:color w:val="auto"/>
        </w:rPr>
      </w:pPr>
      <w:r w:rsidRPr="0073210A">
        <w:rPr>
          <w:color w:val="auto"/>
        </w:rPr>
        <w:lastRenderedPageBreak/>
        <w:t>TABLE I. EXPERIMENTAL FACTORS AND CONTROLS</w:t>
      </w:r>
    </w:p>
    <w:tbl>
      <w:tblPr>
        <w:tblW w:w="4866" w:type="dxa"/>
        <w:jc w:val="center"/>
        <w:tblBorders>
          <w:top w:val="single" w:sz="6" w:space="0" w:color="000000"/>
          <w:left w:val="nil"/>
          <w:bottom w:val="single" w:sz="6" w:space="0" w:color="000000"/>
          <w:right w:val="nil"/>
          <w:insideH w:val="nil"/>
          <w:insideV w:val="nil"/>
        </w:tblBorders>
        <w:tblLayout w:type="fixed"/>
        <w:tblCellMar>
          <w:top w:w="60" w:type="dxa"/>
          <w:left w:w="65" w:type="dxa"/>
          <w:bottom w:w="60" w:type="dxa"/>
          <w:right w:w="65" w:type="dxa"/>
        </w:tblCellMar>
        <w:tblLook w:val="04A0" w:firstRow="1" w:lastRow="0" w:firstColumn="1" w:lastColumn="0" w:noHBand="0" w:noVBand="1"/>
      </w:tblPr>
      <w:tblGrid>
        <w:gridCol w:w="1560"/>
        <w:gridCol w:w="3306"/>
      </w:tblGrid>
      <w:tr w:rsidR="00F61298" w14:paraId="25FF4BBC" w14:textId="77777777" w:rsidTr="0073210A">
        <w:trPr>
          <w:cantSplit/>
          <w:tblHeader/>
          <w:jc w:val="center"/>
        </w:trPr>
        <w:tc>
          <w:tcPr>
            <w:tcW w:w="1560" w:type="dxa"/>
            <w:tcBorders>
              <w:bottom w:val="single" w:sz="4" w:space="0" w:color="000000"/>
            </w:tcBorders>
          </w:tcPr>
          <w:p w14:paraId="24E31C50" w14:textId="77777777" w:rsidR="00F61298" w:rsidRPr="0073210A" w:rsidRDefault="004822B7">
            <w:pPr>
              <w:keepNext/>
              <w:keepLines/>
              <w:spacing w:after="0" w:line="220" w:lineRule="auto"/>
              <w:ind w:firstLine="0"/>
              <w:jc w:val="left"/>
              <w:rPr>
                <w:color w:val="auto"/>
              </w:rPr>
            </w:pPr>
            <w:r w:rsidRPr="0073210A">
              <w:rPr>
                <w:b/>
                <w:color w:val="auto"/>
                <w:sz w:val="18"/>
                <w:szCs w:val="18"/>
              </w:rPr>
              <w:t>Factor or control</w:t>
            </w:r>
          </w:p>
        </w:tc>
        <w:tc>
          <w:tcPr>
            <w:tcW w:w="3306" w:type="dxa"/>
            <w:tcBorders>
              <w:bottom w:val="single" w:sz="4" w:space="0" w:color="000000"/>
            </w:tcBorders>
          </w:tcPr>
          <w:p w14:paraId="37C1EF1F" w14:textId="77777777" w:rsidR="00F61298" w:rsidRPr="0073210A" w:rsidRDefault="004822B7">
            <w:pPr>
              <w:keepNext/>
              <w:keepLines/>
              <w:spacing w:after="0" w:line="220" w:lineRule="auto"/>
              <w:ind w:firstLine="0"/>
              <w:jc w:val="left"/>
              <w:rPr>
                <w:color w:val="auto"/>
              </w:rPr>
            </w:pPr>
            <w:r w:rsidRPr="0073210A">
              <w:rPr>
                <w:b/>
                <w:color w:val="auto"/>
                <w:sz w:val="18"/>
                <w:szCs w:val="18"/>
              </w:rPr>
              <w:t>Configuration</w:t>
            </w:r>
          </w:p>
        </w:tc>
      </w:tr>
      <w:tr w:rsidR="00F61298" w14:paraId="576584DF" w14:textId="77777777" w:rsidTr="0073210A">
        <w:trPr>
          <w:cantSplit/>
          <w:jc w:val="center"/>
        </w:trPr>
        <w:tc>
          <w:tcPr>
            <w:tcW w:w="1560" w:type="dxa"/>
          </w:tcPr>
          <w:p w14:paraId="4E092C1C" w14:textId="77777777" w:rsidR="00F61298" w:rsidRPr="0073210A" w:rsidRDefault="004822B7">
            <w:pPr>
              <w:keepNext/>
              <w:keepLines/>
              <w:spacing w:after="0" w:line="220" w:lineRule="auto"/>
              <w:ind w:firstLine="0"/>
              <w:jc w:val="left"/>
              <w:rPr>
                <w:color w:val="auto"/>
              </w:rPr>
            </w:pPr>
            <w:r w:rsidRPr="0073210A">
              <w:rPr>
                <w:color w:val="auto"/>
                <w:sz w:val="18"/>
                <w:szCs w:val="18"/>
              </w:rPr>
              <w:t>Models</w:t>
            </w:r>
          </w:p>
        </w:tc>
        <w:tc>
          <w:tcPr>
            <w:tcW w:w="3306" w:type="dxa"/>
          </w:tcPr>
          <w:p w14:paraId="50EE0C95" w14:textId="63859C62" w:rsidR="00F61298" w:rsidRPr="0073210A" w:rsidRDefault="004822B7">
            <w:pPr>
              <w:keepNext/>
              <w:keepLines/>
              <w:spacing w:after="0" w:line="220" w:lineRule="auto"/>
              <w:ind w:firstLine="0"/>
              <w:jc w:val="left"/>
              <w:rPr>
                <w:color w:val="auto"/>
              </w:rPr>
            </w:pPr>
            <w:r w:rsidRPr="0073210A">
              <w:rPr>
                <w:color w:val="auto"/>
              </w:rPr>
              <w:t>DeepSeek V4</w:t>
            </w:r>
            <w:r w:rsidR="006E58D9" w:rsidRPr="0073210A">
              <w:rPr>
                <w:color w:val="auto"/>
              </w:rPr>
              <w:t>.1</w:t>
            </w:r>
            <w:r w:rsidRPr="0073210A">
              <w:rPr>
                <w:color w:val="auto"/>
              </w:rPr>
              <w:t xml:space="preserve"> Flash</w:t>
            </w:r>
            <w:r w:rsidR="006E58D9" w:rsidRPr="0073210A">
              <w:rPr>
                <w:color w:val="auto"/>
              </w:rPr>
              <w:t xml:space="preserve"> 1017</w:t>
            </w:r>
            <w:r w:rsidRPr="0073210A">
              <w:rPr>
                <w:color w:val="auto"/>
              </w:rPr>
              <w:t xml:space="preserve"> and GPT-</w:t>
            </w:r>
            <w:r w:rsidR="006E58D9" w:rsidRPr="0073210A">
              <w:rPr>
                <w:color w:val="auto"/>
              </w:rPr>
              <w:t>6</w:t>
            </w:r>
            <w:r w:rsidRPr="0073210A">
              <w:rPr>
                <w:color w:val="auto"/>
              </w:rPr>
              <w:t xml:space="preserve"> Luna</w:t>
            </w:r>
            <w:r w:rsidR="006E58D9" w:rsidRPr="0073210A">
              <w:rPr>
                <w:color w:val="auto"/>
              </w:rPr>
              <w:t>.</w:t>
            </w:r>
          </w:p>
        </w:tc>
      </w:tr>
      <w:tr w:rsidR="00F61298" w14:paraId="56155FBB" w14:textId="77777777" w:rsidTr="0073210A">
        <w:trPr>
          <w:cantSplit/>
          <w:jc w:val="center"/>
        </w:trPr>
        <w:tc>
          <w:tcPr>
            <w:tcW w:w="1560" w:type="dxa"/>
          </w:tcPr>
          <w:p w14:paraId="6CA7498F" w14:textId="77777777" w:rsidR="00F61298" w:rsidRPr="0073210A" w:rsidRDefault="004822B7">
            <w:pPr>
              <w:keepNext/>
              <w:keepLines/>
              <w:spacing w:after="0" w:line="220" w:lineRule="auto"/>
              <w:ind w:firstLine="0"/>
              <w:jc w:val="left"/>
              <w:rPr>
                <w:color w:val="auto"/>
              </w:rPr>
            </w:pPr>
            <w:r w:rsidRPr="0073210A">
              <w:rPr>
                <w:color w:val="auto"/>
                <w:sz w:val="18"/>
                <w:szCs w:val="18"/>
              </w:rPr>
              <w:t>Conditions</w:t>
            </w:r>
          </w:p>
        </w:tc>
        <w:tc>
          <w:tcPr>
            <w:tcW w:w="3306" w:type="dxa"/>
          </w:tcPr>
          <w:p w14:paraId="68BDD806" w14:textId="14515E34" w:rsidR="00F61298" w:rsidRPr="0073210A" w:rsidRDefault="004822B7">
            <w:pPr>
              <w:keepNext/>
              <w:keepLines/>
              <w:spacing w:after="0" w:line="220" w:lineRule="auto"/>
              <w:ind w:firstLine="0"/>
              <w:jc w:val="left"/>
              <w:rPr>
                <w:color w:val="auto"/>
              </w:rPr>
            </w:pPr>
            <w:r w:rsidRPr="0073210A">
              <w:rPr>
                <w:color w:val="auto"/>
                <w:sz w:val="18"/>
                <w:szCs w:val="18"/>
              </w:rPr>
              <w:t>Linear + hybrid</w:t>
            </w:r>
            <w:r w:rsidR="0073210A" w:rsidRPr="0073210A">
              <w:rPr>
                <w:color w:val="auto"/>
                <w:sz w:val="18"/>
                <w:szCs w:val="18"/>
              </w:rPr>
              <w:t xml:space="preserve"> and </w:t>
            </w:r>
            <w:r w:rsidRPr="0073210A">
              <w:rPr>
                <w:color w:val="auto"/>
                <w:sz w:val="18"/>
                <w:szCs w:val="18"/>
              </w:rPr>
              <w:t>AKG-guided + hybrid.</w:t>
            </w:r>
          </w:p>
        </w:tc>
      </w:tr>
      <w:tr w:rsidR="00F61298" w14:paraId="5478472A" w14:textId="77777777" w:rsidTr="0073210A">
        <w:trPr>
          <w:cantSplit/>
          <w:jc w:val="center"/>
        </w:trPr>
        <w:tc>
          <w:tcPr>
            <w:tcW w:w="1560" w:type="dxa"/>
          </w:tcPr>
          <w:p w14:paraId="0D0664F3" w14:textId="77777777" w:rsidR="00F61298" w:rsidRPr="0073210A" w:rsidRDefault="004822B7">
            <w:pPr>
              <w:keepNext/>
              <w:keepLines/>
              <w:spacing w:after="0" w:line="220" w:lineRule="auto"/>
              <w:ind w:firstLine="0"/>
              <w:jc w:val="left"/>
              <w:rPr>
                <w:color w:val="auto"/>
              </w:rPr>
            </w:pPr>
            <w:r w:rsidRPr="0073210A">
              <w:rPr>
                <w:color w:val="auto"/>
                <w:sz w:val="18"/>
                <w:szCs w:val="18"/>
              </w:rPr>
              <w:t>Levels and repetitions</w:t>
            </w:r>
          </w:p>
        </w:tc>
        <w:tc>
          <w:tcPr>
            <w:tcW w:w="3306" w:type="dxa"/>
          </w:tcPr>
          <w:p w14:paraId="495B73DA" w14:textId="5CCDB63C" w:rsidR="00F61298" w:rsidRPr="0073210A" w:rsidRDefault="004822B7">
            <w:pPr>
              <w:keepNext/>
              <w:keepLines/>
              <w:spacing w:after="0" w:line="220" w:lineRule="auto"/>
              <w:ind w:firstLine="0"/>
              <w:jc w:val="left"/>
              <w:rPr>
                <w:color w:val="auto"/>
              </w:rPr>
            </w:pPr>
            <w:r w:rsidRPr="0073210A">
              <w:rPr>
                <w:color w:val="auto"/>
                <w:sz w:val="18"/>
                <w:szCs w:val="18"/>
              </w:rPr>
              <w:t>Low, Medium, High</w:t>
            </w:r>
            <w:r w:rsidR="0073210A" w:rsidRPr="0073210A">
              <w:rPr>
                <w:color w:val="auto"/>
                <w:sz w:val="18"/>
                <w:szCs w:val="18"/>
              </w:rPr>
              <w:t xml:space="preserve"> with </w:t>
            </w:r>
            <w:r w:rsidRPr="0073210A">
              <w:rPr>
                <w:color w:val="auto"/>
                <w:sz w:val="18"/>
                <w:szCs w:val="18"/>
              </w:rPr>
              <w:t>three repetitions per model/condition/level/surface coordinate.</w:t>
            </w:r>
          </w:p>
        </w:tc>
      </w:tr>
      <w:tr w:rsidR="00F61298" w14:paraId="38F86299" w14:textId="77777777" w:rsidTr="0073210A">
        <w:trPr>
          <w:cantSplit/>
          <w:jc w:val="center"/>
        </w:trPr>
        <w:tc>
          <w:tcPr>
            <w:tcW w:w="1560" w:type="dxa"/>
          </w:tcPr>
          <w:p w14:paraId="254EEF59" w14:textId="77777777" w:rsidR="00F61298" w:rsidRPr="0073210A" w:rsidRDefault="004822B7">
            <w:pPr>
              <w:keepLines/>
              <w:spacing w:after="0" w:line="220" w:lineRule="auto"/>
              <w:ind w:firstLine="0"/>
              <w:jc w:val="left"/>
              <w:rPr>
                <w:color w:val="auto"/>
              </w:rPr>
            </w:pPr>
            <w:r w:rsidRPr="0073210A">
              <w:rPr>
                <w:color w:val="auto"/>
                <w:sz w:val="18"/>
                <w:szCs w:val="18"/>
              </w:rPr>
              <w:t>Fixed controls</w:t>
            </w:r>
          </w:p>
        </w:tc>
        <w:tc>
          <w:tcPr>
            <w:tcW w:w="3306" w:type="dxa"/>
          </w:tcPr>
          <w:p w14:paraId="6041020C" w14:textId="2C93A718" w:rsidR="00F61298" w:rsidRPr="0073210A" w:rsidRDefault="004822B7">
            <w:pPr>
              <w:keepLines/>
              <w:spacing w:after="0" w:line="220" w:lineRule="auto"/>
              <w:ind w:firstLine="0"/>
              <w:jc w:val="left"/>
              <w:rPr>
                <w:color w:val="auto"/>
              </w:rPr>
            </w:pPr>
            <w:r w:rsidRPr="0073210A">
              <w:rPr>
                <w:color w:val="auto"/>
                <w:sz w:val="18"/>
                <w:szCs w:val="18"/>
              </w:rPr>
              <w:t>Comparable DVWA state; agents, seeds, validators, budgets, retry policy, and assessment rubric.</w:t>
            </w:r>
          </w:p>
        </w:tc>
      </w:tr>
    </w:tbl>
    <w:p w14:paraId="2BEB5210" w14:textId="2C5197B6" w:rsidR="00F61298" w:rsidRPr="006F287F" w:rsidRDefault="009E7885">
      <w:pPr>
        <w:spacing w:line="228" w:lineRule="auto"/>
        <w:ind w:firstLine="289"/>
        <w:rPr>
          <w:color w:val="auto"/>
        </w:rPr>
      </w:pPr>
      <w:r w:rsidRPr="006F287F">
        <w:rPr>
          <w:color w:val="auto"/>
        </w:rPr>
        <w:t xml:space="preserve">For better comparability, static agents, seeds, validators, candidate budgets, retry policy, rubric, and reference profiles </w:t>
      </w:r>
      <w:r w:rsidR="009D61D8" w:rsidRPr="006F287F">
        <w:rPr>
          <w:color w:val="auto"/>
        </w:rPr>
        <w:t>should be identical</w:t>
      </w:r>
      <w:r w:rsidRPr="006F287F">
        <w:rPr>
          <w:color w:val="auto"/>
        </w:rPr>
        <w:t xml:space="preserve"> in both conditions. Template prompts should remain constant for each condition and the same across all models. All execution log records should contain information about effective model settings, output schema, fixture/protocol version numbers, and DVWA security level in question, because those values define which nominal coordinates are considered valid from the perspective of comparison controls. Environment, provider, and model configuration differences remain in place as reasons for comparability restrictions.</w:t>
      </w:r>
    </w:p>
    <w:tbl>
      <w:tblPr>
        <w:tblpPr w:topFromText="100" w:bottomFromText="100" w:horzAnchor="margin" w:tblpXSpec="center" w:tblpYSpec="bottom"/>
        <w:tblOverlap w:val="never"/>
        <w:tblW w:w="10092" w:type="dxa"/>
        <w:jc w:val="center"/>
        <w:tblBorders>
          <w:top w:val="nil"/>
          <w:left w:val="nil"/>
          <w:bottom w:val="single" w:sz="6" w:space="0" w:color="000000"/>
          <w:right w:val="nil"/>
          <w:insideH w:val="nil"/>
          <w:insideV w:val="nil"/>
        </w:tblBorders>
        <w:tblLayout w:type="fixed"/>
        <w:tblCellMar>
          <w:top w:w="60" w:type="dxa"/>
          <w:left w:w="65" w:type="dxa"/>
          <w:bottom w:w="60" w:type="dxa"/>
          <w:right w:w="65" w:type="dxa"/>
        </w:tblCellMar>
        <w:tblLook w:val="04A0" w:firstRow="1" w:lastRow="0" w:firstColumn="1" w:lastColumn="0" w:noHBand="0" w:noVBand="1"/>
      </w:tblPr>
      <w:tblGrid>
        <w:gridCol w:w="1350"/>
        <w:gridCol w:w="2450"/>
        <w:gridCol w:w="2800"/>
        <w:gridCol w:w="3492"/>
      </w:tblGrid>
      <w:tr w:rsidR="002B6A08" w:rsidRPr="002B6A08" w14:paraId="15C1FB16" w14:textId="77777777" w:rsidTr="0091609E">
        <w:trPr>
          <w:cantSplit/>
          <w:jc w:val="center"/>
        </w:trPr>
        <w:tc>
          <w:tcPr>
            <w:tcW w:w="10092" w:type="dxa"/>
            <w:gridSpan w:val="4"/>
          </w:tcPr>
          <w:p w14:paraId="7DB7F86A" w14:textId="77777777" w:rsidR="00F61298" w:rsidRPr="002B6A08" w:rsidRDefault="004822B7">
            <w:pPr>
              <w:pStyle w:val="tablehead"/>
              <w:keepNext/>
              <w:keepLines/>
              <w:spacing w:before="160" w:after="100"/>
              <w:rPr>
                <w:color w:val="auto"/>
              </w:rPr>
            </w:pPr>
            <w:r w:rsidRPr="002B6A08">
              <w:rPr>
                <w:color w:val="auto"/>
              </w:rPr>
              <w:t>TABLE II. EVALUATION DIMENSIONS AND ASSESSMENT PROCEDURES</w:t>
            </w:r>
          </w:p>
        </w:tc>
      </w:tr>
      <w:tr w:rsidR="002B6A08" w:rsidRPr="002B6A08" w14:paraId="7DC20607" w14:textId="77777777" w:rsidTr="0091609E">
        <w:trPr>
          <w:cantSplit/>
          <w:tblHeader/>
          <w:jc w:val="center"/>
        </w:trPr>
        <w:tc>
          <w:tcPr>
            <w:tcW w:w="1350" w:type="dxa"/>
            <w:tcBorders>
              <w:top w:val="single" w:sz="6" w:space="0" w:color="000000"/>
              <w:bottom w:val="single" w:sz="2" w:space="0" w:color="000000"/>
            </w:tcBorders>
            <w:tcMar>
              <w:top w:w="40" w:type="dxa"/>
              <w:left w:w="80" w:type="dxa"/>
              <w:bottom w:w="40" w:type="dxa"/>
              <w:right w:w="80" w:type="dxa"/>
            </w:tcMar>
          </w:tcPr>
          <w:p w14:paraId="4DCA4924" w14:textId="77777777" w:rsidR="00F61298" w:rsidRPr="002B6A08" w:rsidRDefault="004822B7">
            <w:pPr>
              <w:keepNext/>
              <w:keepLines/>
              <w:spacing w:after="0" w:line="180" w:lineRule="exact"/>
              <w:ind w:firstLine="0"/>
              <w:jc w:val="left"/>
              <w:rPr>
                <w:color w:val="auto"/>
              </w:rPr>
            </w:pPr>
            <w:r w:rsidRPr="002B6A08">
              <w:rPr>
                <w:b/>
                <w:color w:val="auto"/>
                <w:sz w:val="16"/>
                <w:szCs w:val="16"/>
              </w:rPr>
              <w:t>Dimension</w:t>
            </w:r>
          </w:p>
        </w:tc>
        <w:tc>
          <w:tcPr>
            <w:tcW w:w="2450" w:type="dxa"/>
            <w:tcBorders>
              <w:top w:val="single" w:sz="6" w:space="0" w:color="000000"/>
              <w:bottom w:val="single" w:sz="2" w:space="0" w:color="000000"/>
            </w:tcBorders>
            <w:tcMar>
              <w:top w:w="40" w:type="dxa"/>
              <w:left w:w="80" w:type="dxa"/>
              <w:bottom w:w="40" w:type="dxa"/>
              <w:right w:w="80" w:type="dxa"/>
            </w:tcMar>
          </w:tcPr>
          <w:p w14:paraId="6464D539" w14:textId="77777777" w:rsidR="00F61298" w:rsidRPr="002B6A08" w:rsidRDefault="004822B7">
            <w:pPr>
              <w:keepNext/>
              <w:keepLines/>
              <w:spacing w:after="0" w:line="180" w:lineRule="exact"/>
              <w:ind w:firstLine="0"/>
              <w:jc w:val="left"/>
              <w:rPr>
                <w:color w:val="auto"/>
              </w:rPr>
            </w:pPr>
            <w:r w:rsidRPr="002B6A08">
              <w:rPr>
                <w:b/>
                <w:color w:val="auto"/>
                <w:sz w:val="16"/>
                <w:szCs w:val="16"/>
              </w:rPr>
              <w:t>Evaluation criterion</w:t>
            </w:r>
          </w:p>
        </w:tc>
        <w:tc>
          <w:tcPr>
            <w:tcW w:w="2800" w:type="dxa"/>
            <w:tcBorders>
              <w:top w:val="single" w:sz="6" w:space="0" w:color="000000"/>
              <w:bottom w:val="single" w:sz="2" w:space="0" w:color="000000"/>
            </w:tcBorders>
            <w:tcMar>
              <w:top w:w="40" w:type="dxa"/>
              <w:left w:w="80" w:type="dxa"/>
              <w:bottom w:w="40" w:type="dxa"/>
              <w:right w:w="80" w:type="dxa"/>
            </w:tcMar>
          </w:tcPr>
          <w:p w14:paraId="0B54E22C" w14:textId="77777777" w:rsidR="00F61298" w:rsidRPr="002B6A08" w:rsidRDefault="004822B7">
            <w:pPr>
              <w:keepNext/>
              <w:keepLines/>
              <w:spacing w:after="0" w:line="180" w:lineRule="exact"/>
              <w:ind w:firstLine="0"/>
              <w:jc w:val="left"/>
              <w:rPr>
                <w:color w:val="auto"/>
              </w:rPr>
            </w:pPr>
            <w:r w:rsidRPr="002B6A08">
              <w:rPr>
                <w:b/>
                <w:color w:val="auto"/>
                <w:sz w:val="16"/>
                <w:szCs w:val="16"/>
              </w:rPr>
              <w:t>Supporting evidence</w:t>
            </w:r>
          </w:p>
        </w:tc>
        <w:tc>
          <w:tcPr>
            <w:tcW w:w="3492" w:type="dxa"/>
            <w:tcBorders>
              <w:top w:val="single" w:sz="6" w:space="0" w:color="000000"/>
              <w:bottom w:val="single" w:sz="2" w:space="0" w:color="000000"/>
            </w:tcBorders>
            <w:tcMar>
              <w:top w:w="40" w:type="dxa"/>
              <w:left w:w="80" w:type="dxa"/>
              <w:bottom w:w="40" w:type="dxa"/>
              <w:right w:w="80" w:type="dxa"/>
            </w:tcMar>
          </w:tcPr>
          <w:p w14:paraId="52756C21" w14:textId="77777777" w:rsidR="00F61298" w:rsidRPr="002B6A08" w:rsidRDefault="004822B7">
            <w:pPr>
              <w:keepNext/>
              <w:keepLines/>
              <w:spacing w:after="0" w:line="180" w:lineRule="exact"/>
              <w:ind w:firstLine="0"/>
              <w:jc w:val="left"/>
              <w:rPr>
                <w:color w:val="auto"/>
              </w:rPr>
            </w:pPr>
            <w:r w:rsidRPr="002B6A08">
              <w:rPr>
                <w:b/>
                <w:color w:val="auto"/>
                <w:sz w:val="16"/>
                <w:szCs w:val="16"/>
              </w:rPr>
              <w:t>Assessment procedure</w:t>
            </w:r>
          </w:p>
        </w:tc>
      </w:tr>
      <w:tr w:rsidR="002B6A08" w:rsidRPr="002B6A08" w14:paraId="2ADCFEBD" w14:textId="77777777" w:rsidTr="0091609E">
        <w:trPr>
          <w:cantSplit/>
          <w:jc w:val="center"/>
        </w:trPr>
        <w:tc>
          <w:tcPr>
            <w:tcW w:w="1350" w:type="dxa"/>
            <w:tcBorders>
              <w:bottom w:val="single" w:sz="2" w:space="0" w:color="000000"/>
            </w:tcBorders>
            <w:tcMar>
              <w:top w:w="40" w:type="dxa"/>
              <w:left w:w="80" w:type="dxa"/>
              <w:bottom w:w="40" w:type="dxa"/>
              <w:right w:w="80" w:type="dxa"/>
            </w:tcMar>
          </w:tcPr>
          <w:p w14:paraId="176E24CB" w14:textId="77777777" w:rsidR="00F61298" w:rsidRPr="002B6A08" w:rsidRDefault="004822B7">
            <w:pPr>
              <w:keepNext/>
              <w:keepLines/>
              <w:spacing w:after="0" w:line="180" w:lineRule="exact"/>
              <w:ind w:firstLine="0"/>
              <w:jc w:val="left"/>
              <w:rPr>
                <w:color w:val="auto"/>
              </w:rPr>
            </w:pPr>
            <w:r w:rsidRPr="002B6A08">
              <w:rPr>
                <w:b/>
                <w:color w:val="auto"/>
                <w:sz w:val="16"/>
                <w:szCs w:val="16"/>
              </w:rPr>
              <w:t>Method selection</w:t>
            </w:r>
          </w:p>
        </w:tc>
        <w:tc>
          <w:tcPr>
            <w:tcW w:w="2450" w:type="dxa"/>
            <w:tcBorders>
              <w:bottom w:val="single" w:sz="2" w:space="0" w:color="000000"/>
            </w:tcBorders>
            <w:tcMar>
              <w:top w:w="40" w:type="dxa"/>
              <w:left w:w="80" w:type="dxa"/>
              <w:bottom w:w="40" w:type="dxa"/>
              <w:right w:w="80" w:type="dxa"/>
            </w:tcMar>
          </w:tcPr>
          <w:p w14:paraId="77864919" w14:textId="77777777" w:rsidR="00F61298" w:rsidRPr="002B6A08" w:rsidRDefault="004822B7">
            <w:pPr>
              <w:keepNext/>
              <w:keepLines/>
              <w:spacing w:after="0" w:line="180" w:lineRule="exact"/>
              <w:ind w:firstLine="0"/>
              <w:jc w:val="left"/>
              <w:rPr>
                <w:color w:val="auto"/>
              </w:rPr>
            </w:pPr>
            <w:r w:rsidRPr="002B6A08">
              <w:rPr>
                <w:color w:val="auto"/>
                <w:sz w:val="16"/>
                <w:szCs w:val="16"/>
              </w:rPr>
              <w:t>Suitability of the final method for the observed state.</w:t>
            </w:r>
          </w:p>
        </w:tc>
        <w:tc>
          <w:tcPr>
            <w:tcW w:w="2800" w:type="dxa"/>
            <w:tcBorders>
              <w:bottom w:val="single" w:sz="2" w:space="0" w:color="000000"/>
            </w:tcBorders>
            <w:tcMar>
              <w:top w:w="40" w:type="dxa"/>
              <w:left w:w="80" w:type="dxa"/>
              <w:bottom w:w="40" w:type="dxa"/>
              <w:right w:w="80" w:type="dxa"/>
            </w:tcMar>
          </w:tcPr>
          <w:p w14:paraId="75AF3D9D" w14:textId="77777777" w:rsidR="00F61298" w:rsidRPr="002B6A08" w:rsidRDefault="004822B7">
            <w:pPr>
              <w:keepNext/>
              <w:keepLines/>
              <w:spacing w:after="0" w:line="180" w:lineRule="exact"/>
              <w:ind w:firstLine="0"/>
              <w:jc w:val="left"/>
              <w:rPr>
                <w:color w:val="auto"/>
              </w:rPr>
            </w:pPr>
            <w:r w:rsidRPr="002B6A08">
              <w:rPr>
                <w:color w:val="auto"/>
                <w:sz w:val="16"/>
                <w:szCs w:val="16"/>
              </w:rPr>
              <w:t>Selection snapshot, observations, frozen ranking profile, justification, and plan.</w:t>
            </w:r>
          </w:p>
        </w:tc>
        <w:tc>
          <w:tcPr>
            <w:tcW w:w="3492" w:type="dxa"/>
            <w:tcBorders>
              <w:bottom w:val="single" w:sz="2" w:space="0" w:color="000000"/>
            </w:tcBorders>
            <w:tcMar>
              <w:top w:w="40" w:type="dxa"/>
              <w:left w:w="80" w:type="dxa"/>
              <w:bottom w:w="40" w:type="dxa"/>
              <w:right w:w="80" w:type="dxa"/>
            </w:tcMar>
          </w:tcPr>
          <w:p w14:paraId="5EDBA1DA" w14:textId="77777777" w:rsidR="00F61298" w:rsidRPr="002B6A08" w:rsidRDefault="004822B7">
            <w:pPr>
              <w:keepNext/>
              <w:keepLines/>
              <w:spacing w:after="0" w:line="180" w:lineRule="exact"/>
              <w:ind w:firstLine="0"/>
              <w:jc w:val="left"/>
              <w:rPr>
                <w:color w:val="auto"/>
              </w:rPr>
            </w:pPr>
            <w:r w:rsidRPr="002B6A08">
              <w:rPr>
                <w:color w:val="auto"/>
                <w:sz w:val="16"/>
                <w:szCs w:val="16"/>
              </w:rPr>
              <w:t>Automated grading: out of scope (0); known unmet prerequisites (1); eligible lower rank (2); highest rank with partially (3) or fully (4) verified justification and plan.</w:t>
            </w:r>
          </w:p>
        </w:tc>
      </w:tr>
      <w:tr w:rsidR="002B6A08" w:rsidRPr="002B6A08" w14:paraId="01465D59" w14:textId="77777777" w:rsidTr="0091609E">
        <w:trPr>
          <w:cantSplit/>
          <w:jc w:val="center"/>
        </w:trPr>
        <w:tc>
          <w:tcPr>
            <w:tcW w:w="1350" w:type="dxa"/>
            <w:tcBorders>
              <w:bottom w:val="single" w:sz="2" w:space="0" w:color="000000"/>
            </w:tcBorders>
            <w:tcMar>
              <w:top w:w="40" w:type="dxa"/>
              <w:left w:w="80" w:type="dxa"/>
              <w:bottom w:w="40" w:type="dxa"/>
              <w:right w:w="80" w:type="dxa"/>
            </w:tcMar>
          </w:tcPr>
          <w:p w14:paraId="7B256AA1" w14:textId="77777777" w:rsidR="00F61298" w:rsidRPr="002B6A08" w:rsidRDefault="004822B7">
            <w:pPr>
              <w:keepNext/>
              <w:keepLines/>
              <w:spacing w:after="0" w:line="180" w:lineRule="exact"/>
              <w:ind w:firstLine="0"/>
              <w:jc w:val="left"/>
              <w:rPr>
                <w:color w:val="auto"/>
              </w:rPr>
            </w:pPr>
            <w:r w:rsidRPr="002B6A08">
              <w:rPr>
                <w:b/>
                <w:color w:val="auto"/>
                <w:sz w:val="16"/>
                <w:szCs w:val="16"/>
              </w:rPr>
              <w:t>Payload</w:t>
            </w:r>
          </w:p>
        </w:tc>
        <w:tc>
          <w:tcPr>
            <w:tcW w:w="2450" w:type="dxa"/>
            <w:tcBorders>
              <w:bottom w:val="single" w:sz="2" w:space="0" w:color="000000"/>
            </w:tcBorders>
            <w:tcMar>
              <w:top w:w="40" w:type="dxa"/>
              <w:left w:w="80" w:type="dxa"/>
              <w:bottom w:w="40" w:type="dxa"/>
              <w:right w:w="80" w:type="dxa"/>
            </w:tcMar>
          </w:tcPr>
          <w:p w14:paraId="657897C0" w14:textId="77777777" w:rsidR="00F61298" w:rsidRPr="002B6A08" w:rsidRDefault="004822B7">
            <w:pPr>
              <w:keepNext/>
              <w:keepLines/>
              <w:spacing w:after="0" w:line="180" w:lineRule="exact"/>
              <w:ind w:firstLine="0"/>
              <w:jc w:val="left"/>
              <w:rPr>
                <w:color w:val="auto"/>
              </w:rPr>
            </w:pPr>
            <w:r w:rsidRPr="002B6A08">
              <w:rPr>
                <w:color w:val="auto"/>
                <w:sz w:val="16"/>
                <w:szCs w:val="16"/>
              </w:rPr>
              <w:t>Evidence-based quality of eligible final-method candidates.</w:t>
            </w:r>
          </w:p>
        </w:tc>
        <w:tc>
          <w:tcPr>
            <w:tcW w:w="2800" w:type="dxa"/>
            <w:tcBorders>
              <w:bottom w:val="single" w:sz="2" w:space="0" w:color="000000"/>
            </w:tcBorders>
            <w:tcMar>
              <w:top w:w="40" w:type="dxa"/>
              <w:left w:w="80" w:type="dxa"/>
              <w:bottom w:w="40" w:type="dxa"/>
              <w:right w:w="80" w:type="dxa"/>
            </w:tcMar>
          </w:tcPr>
          <w:p w14:paraId="5E6284ED" w14:textId="77777777" w:rsidR="00F61298" w:rsidRPr="002B6A08" w:rsidRDefault="004822B7">
            <w:pPr>
              <w:keepNext/>
              <w:keepLines/>
              <w:spacing w:after="0" w:line="180" w:lineRule="exact"/>
              <w:ind w:firstLine="0"/>
              <w:jc w:val="left"/>
              <w:rPr>
                <w:color w:val="auto"/>
              </w:rPr>
            </w:pPr>
            <w:r w:rsidRPr="002B6A08">
              <w:rPr>
                <w:color w:val="auto"/>
                <w:sz w:val="16"/>
                <w:szCs w:val="16"/>
              </w:rPr>
              <w:t>Candidate identity, provenance, validation receipts, responses, timing, and verifier decisions.</w:t>
            </w:r>
          </w:p>
        </w:tc>
        <w:tc>
          <w:tcPr>
            <w:tcW w:w="3492" w:type="dxa"/>
            <w:tcBorders>
              <w:bottom w:val="single" w:sz="2" w:space="0" w:color="000000"/>
            </w:tcBorders>
            <w:tcMar>
              <w:top w:w="40" w:type="dxa"/>
              <w:left w:w="80" w:type="dxa"/>
              <w:bottom w:w="40" w:type="dxa"/>
              <w:right w:w="80" w:type="dxa"/>
            </w:tcMar>
          </w:tcPr>
          <w:p w14:paraId="049272AF" w14:textId="6F55EAA2" w:rsidR="00F61298" w:rsidRPr="002B6A08" w:rsidRDefault="004822B7">
            <w:pPr>
              <w:keepNext/>
              <w:keepLines/>
              <w:spacing w:after="0" w:line="180" w:lineRule="exact"/>
              <w:ind w:firstLine="0"/>
              <w:jc w:val="left"/>
              <w:rPr>
                <w:color w:val="auto"/>
              </w:rPr>
            </w:pPr>
            <w:r w:rsidRPr="002B6A08">
              <w:rPr>
                <w:color w:val="auto"/>
                <w:sz w:val="16"/>
                <w:szCs w:val="16"/>
              </w:rPr>
              <w:t xml:space="preserve">Automated screening and </w:t>
            </w:r>
            <w:r w:rsidR="002B6A08" w:rsidRPr="002B6A08">
              <w:rPr>
                <w:color w:val="auto"/>
                <w:sz w:val="16"/>
                <w:szCs w:val="16"/>
              </w:rPr>
              <w:t>manual</w:t>
            </w:r>
            <w:r w:rsidRPr="002B6A08">
              <w:rPr>
                <w:color w:val="auto"/>
                <w:sz w:val="16"/>
                <w:szCs w:val="16"/>
              </w:rPr>
              <w:t xml:space="preserve"> assessment. Average distinct valid, executed exploit/bypass candidates; exclude probes and rejected or unexecuted candidates.</w:t>
            </w:r>
          </w:p>
        </w:tc>
      </w:tr>
      <w:tr w:rsidR="002B6A08" w:rsidRPr="002B6A08" w14:paraId="051F99D8" w14:textId="77777777" w:rsidTr="0091609E">
        <w:trPr>
          <w:cantSplit/>
          <w:jc w:val="center"/>
        </w:trPr>
        <w:tc>
          <w:tcPr>
            <w:tcW w:w="1350" w:type="dxa"/>
            <w:tcBorders>
              <w:bottom w:val="single" w:sz="2" w:space="0" w:color="000000"/>
            </w:tcBorders>
            <w:tcMar>
              <w:top w:w="40" w:type="dxa"/>
              <w:left w:w="80" w:type="dxa"/>
              <w:bottom w:w="40" w:type="dxa"/>
              <w:right w:w="80" w:type="dxa"/>
            </w:tcMar>
          </w:tcPr>
          <w:p w14:paraId="0377D489" w14:textId="77777777" w:rsidR="00F61298" w:rsidRPr="002B6A08" w:rsidRDefault="004822B7">
            <w:pPr>
              <w:keepNext/>
              <w:keepLines/>
              <w:spacing w:after="0" w:line="180" w:lineRule="exact"/>
              <w:ind w:firstLine="0"/>
              <w:jc w:val="left"/>
              <w:rPr>
                <w:color w:val="auto"/>
              </w:rPr>
            </w:pPr>
            <w:r w:rsidRPr="002B6A08">
              <w:rPr>
                <w:b/>
                <w:color w:val="auto"/>
                <w:sz w:val="16"/>
                <w:szCs w:val="16"/>
              </w:rPr>
              <w:t>Exploitation</w:t>
            </w:r>
          </w:p>
        </w:tc>
        <w:tc>
          <w:tcPr>
            <w:tcW w:w="2450" w:type="dxa"/>
            <w:tcBorders>
              <w:bottom w:val="single" w:sz="2" w:space="0" w:color="000000"/>
            </w:tcBorders>
            <w:tcMar>
              <w:top w:w="40" w:type="dxa"/>
              <w:left w:w="80" w:type="dxa"/>
              <w:bottom w:w="40" w:type="dxa"/>
              <w:right w:w="80" w:type="dxa"/>
            </w:tcMar>
          </w:tcPr>
          <w:p w14:paraId="27213DE6" w14:textId="77777777" w:rsidR="00F61298" w:rsidRPr="002B6A08" w:rsidRDefault="004822B7">
            <w:pPr>
              <w:keepNext/>
              <w:keepLines/>
              <w:spacing w:after="0" w:line="180" w:lineRule="exact"/>
              <w:ind w:firstLine="0"/>
              <w:jc w:val="left"/>
              <w:rPr>
                <w:color w:val="auto"/>
              </w:rPr>
            </w:pPr>
            <w:r w:rsidRPr="002B6A08">
              <w:rPr>
                <w:color w:val="auto"/>
                <w:sz w:val="16"/>
                <w:szCs w:val="16"/>
              </w:rPr>
              <w:t>Strength of method-specific confirmation.</w:t>
            </w:r>
          </w:p>
        </w:tc>
        <w:tc>
          <w:tcPr>
            <w:tcW w:w="2800" w:type="dxa"/>
            <w:tcBorders>
              <w:bottom w:val="single" w:sz="2" w:space="0" w:color="000000"/>
            </w:tcBorders>
            <w:tcMar>
              <w:top w:w="40" w:type="dxa"/>
              <w:left w:w="80" w:type="dxa"/>
              <w:bottom w:w="40" w:type="dxa"/>
              <w:right w:w="80" w:type="dxa"/>
            </w:tcMar>
          </w:tcPr>
          <w:p w14:paraId="41507362" w14:textId="77777777" w:rsidR="00F61298" w:rsidRPr="002B6A08" w:rsidRDefault="004822B7">
            <w:pPr>
              <w:keepNext/>
              <w:keepLines/>
              <w:spacing w:after="0" w:line="180" w:lineRule="exact"/>
              <w:ind w:firstLine="0"/>
              <w:jc w:val="left"/>
              <w:rPr>
                <w:color w:val="auto"/>
              </w:rPr>
            </w:pPr>
            <w:r w:rsidRPr="002B6A08">
              <w:rPr>
                <w:color w:val="auto"/>
                <w:sz w:val="16"/>
                <w:szCs w:val="16"/>
              </w:rPr>
              <w:t>Candidate-linked responses and independent method, permission, or session controls.</w:t>
            </w:r>
          </w:p>
        </w:tc>
        <w:tc>
          <w:tcPr>
            <w:tcW w:w="3492" w:type="dxa"/>
            <w:tcBorders>
              <w:bottom w:val="single" w:sz="2" w:space="0" w:color="000000"/>
            </w:tcBorders>
            <w:tcMar>
              <w:top w:w="40" w:type="dxa"/>
              <w:left w:w="80" w:type="dxa"/>
              <w:bottom w:w="40" w:type="dxa"/>
              <w:right w:w="80" w:type="dxa"/>
            </w:tcMar>
          </w:tcPr>
          <w:p w14:paraId="46675473" w14:textId="77777777" w:rsidR="00F61298" w:rsidRPr="002B6A08" w:rsidRDefault="004822B7">
            <w:pPr>
              <w:keepNext/>
              <w:keepLines/>
              <w:spacing w:after="0" w:line="180" w:lineRule="exact"/>
              <w:ind w:firstLine="0"/>
              <w:jc w:val="left"/>
              <w:rPr>
                <w:color w:val="auto"/>
              </w:rPr>
            </w:pPr>
            <w:r w:rsidRPr="002B6A08">
              <w:rPr>
                <w:color w:val="auto"/>
                <w:sz w:val="16"/>
                <w:szCs w:val="16"/>
              </w:rPr>
              <w:t xml:space="preserve">Automated </w:t>
            </w:r>
            <w:proofErr w:type="gramStart"/>
            <w:r w:rsidRPr="002B6A08">
              <w:rPr>
                <w:color w:val="auto"/>
                <w:sz w:val="16"/>
                <w:szCs w:val="16"/>
              </w:rPr>
              <w:t>verification;</w:t>
            </w:r>
            <w:proofErr w:type="gramEnd"/>
            <w:r w:rsidRPr="002B6A08">
              <w:rPr>
                <w:color w:val="auto"/>
                <w:sz w:val="16"/>
                <w:szCs w:val="16"/>
              </w:rPr>
              <w:t xml:space="preserve"> full confirmation requires </w:t>
            </w:r>
            <w:proofErr w:type="gramStart"/>
            <w:r w:rsidRPr="002B6A08">
              <w:rPr>
                <w:color w:val="auto"/>
                <w:sz w:val="16"/>
                <w:szCs w:val="16"/>
              </w:rPr>
              <w:t>the applicable</w:t>
            </w:r>
            <w:proofErr w:type="gramEnd"/>
            <w:r w:rsidRPr="002B6A08">
              <w:rPr>
                <w:color w:val="auto"/>
                <w:sz w:val="16"/>
                <w:szCs w:val="16"/>
              </w:rPr>
              <w:t xml:space="preserve"> independent controls.</w:t>
            </w:r>
          </w:p>
        </w:tc>
      </w:tr>
      <w:tr w:rsidR="002B6A08" w:rsidRPr="002B6A08" w14:paraId="3103FD00" w14:textId="77777777" w:rsidTr="0091609E">
        <w:trPr>
          <w:cantSplit/>
          <w:jc w:val="center"/>
        </w:trPr>
        <w:tc>
          <w:tcPr>
            <w:tcW w:w="1350" w:type="dxa"/>
            <w:tcBorders>
              <w:bottom w:val="single" w:sz="2" w:space="0" w:color="000000"/>
            </w:tcBorders>
            <w:tcMar>
              <w:top w:w="40" w:type="dxa"/>
              <w:left w:w="80" w:type="dxa"/>
              <w:bottom w:w="40" w:type="dxa"/>
              <w:right w:w="80" w:type="dxa"/>
            </w:tcMar>
          </w:tcPr>
          <w:p w14:paraId="285DB3AF" w14:textId="77777777" w:rsidR="00F61298" w:rsidRPr="002B6A08" w:rsidRDefault="004822B7">
            <w:pPr>
              <w:keepNext/>
              <w:keepLines/>
              <w:spacing w:after="0" w:line="180" w:lineRule="exact"/>
              <w:ind w:firstLine="0"/>
              <w:jc w:val="left"/>
              <w:rPr>
                <w:color w:val="auto"/>
              </w:rPr>
            </w:pPr>
            <w:r w:rsidRPr="002B6A08">
              <w:rPr>
                <w:b/>
                <w:color w:val="auto"/>
                <w:sz w:val="16"/>
                <w:szCs w:val="16"/>
              </w:rPr>
              <w:t>Chain</w:t>
            </w:r>
          </w:p>
        </w:tc>
        <w:tc>
          <w:tcPr>
            <w:tcW w:w="2450" w:type="dxa"/>
            <w:tcBorders>
              <w:bottom w:val="single" w:sz="2" w:space="0" w:color="000000"/>
            </w:tcBorders>
            <w:tcMar>
              <w:top w:w="40" w:type="dxa"/>
              <w:left w:w="80" w:type="dxa"/>
              <w:bottom w:w="40" w:type="dxa"/>
              <w:right w:w="80" w:type="dxa"/>
            </w:tcMar>
          </w:tcPr>
          <w:p w14:paraId="2DC30D9A" w14:textId="77777777" w:rsidR="00F61298" w:rsidRPr="002B6A08" w:rsidRDefault="004822B7">
            <w:pPr>
              <w:keepNext/>
              <w:keepLines/>
              <w:spacing w:after="0" w:line="180" w:lineRule="exact"/>
              <w:ind w:firstLine="0"/>
              <w:jc w:val="left"/>
              <w:rPr>
                <w:color w:val="auto"/>
              </w:rPr>
            </w:pPr>
            <w:r w:rsidRPr="002B6A08">
              <w:rPr>
                <w:color w:val="auto"/>
                <w:sz w:val="16"/>
                <w:szCs w:val="16"/>
              </w:rPr>
              <w:t>Extent of verified progression across vulnerability surfaces.</w:t>
            </w:r>
          </w:p>
        </w:tc>
        <w:tc>
          <w:tcPr>
            <w:tcW w:w="2800" w:type="dxa"/>
            <w:tcBorders>
              <w:bottom w:val="single" w:sz="2" w:space="0" w:color="000000"/>
            </w:tcBorders>
            <w:tcMar>
              <w:top w:w="40" w:type="dxa"/>
              <w:left w:w="80" w:type="dxa"/>
              <w:bottom w:w="40" w:type="dxa"/>
              <w:right w:w="80" w:type="dxa"/>
            </w:tcMar>
          </w:tcPr>
          <w:p w14:paraId="2EED9C4C" w14:textId="77777777" w:rsidR="00F61298" w:rsidRPr="002B6A08" w:rsidRDefault="004822B7">
            <w:pPr>
              <w:keepNext/>
              <w:keepLines/>
              <w:spacing w:after="0" w:line="180" w:lineRule="exact"/>
              <w:ind w:firstLine="0"/>
              <w:jc w:val="left"/>
              <w:rPr>
                <w:color w:val="auto"/>
              </w:rPr>
            </w:pPr>
            <w:r w:rsidRPr="002B6A08">
              <w:rPr>
                <w:color w:val="auto"/>
                <w:sz w:val="16"/>
                <w:szCs w:val="16"/>
              </w:rPr>
              <w:t>AKG relationships and linked source, prerequisite, use, and destination evidence.</w:t>
            </w:r>
          </w:p>
        </w:tc>
        <w:tc>
          <w:tcPr>
            <w:tcW w:w="3492" w:type="dxa"/>
            <w:tcBorders>
              <w:bottom w:val="single" w:sz="2" w:space="0" w:color="000000"/>
            </w:tcBorders>
            <w:tcMar>
              <w:top w:w="40" w:type="dxa"/>
              <w:left w:w="80" w:type="dxa"/>
              <w:bottom w:w="40" w:type="dxa"/>
              <w:right w:w="80" w:type="dxa"/>
            </w:tcMar>
          </w:tcPr>
          <w:p w14:paraId="6C91D0CB" w14:textId="77777777" w:rsidR="00F61298" w:rsidRPr="002B6A08" w:rsidRDefault="004822B7">
            <w:pPr>
              <w:keepNext/>
              <w:keepLines/>
              <w:spacing w:after="0" w:line="180" w:lineRule="exact"/>
              <w:ind w:firstLine="0"/>
              <w:jc w:val="left"/>
              <w:rPr>
                <w:color w:val="auto"/>
              </w:rPr>
            </w:pPr>
            <w:r w:rsidRPr="002B6A08">
              <w:rPr>
                <w:color w:val="auto"/>
                <w:sz w:val="16"/>
                <w:szCs w:val="16"/>
              </w:rPr>
              <w:t>Automated grading: no opportunity (0); preliminary opportunity (1); verified source and prerequisites (2); one verified transition (3); multiple causally linked verified transitions (4).</w:t>
            </w:r>
          </w:p>
        </w:tc>
      </w:tr>
      <w:tr w:rsidR="002B6A08" w:rsidRPr="002B6A08" w14:paraId="1B2E3731" w14:textId="77777777" w:rsidTr="0091609E">
        <w:trPr>
          <w:cantSplit/>
          <w:jc w:val="center"/>
        </w:trPr>
        <w:tc>
          <w:tcPr>
            <w:tcW w:w="1350" w:type="dxa"/>
            <w:tcBorders>
              <w:bottom w:val="single" w:sz="2" w:space="0" w:color="000000"/>
            </w:tcBorders>
            <w:tcMar>
              <w:top w:w="40" w:type="dxa"/>
              <w:left w:w="80" w:type="dxa"/>
              <w:bottom w:w="40" w:type="dxa"/>
              <w:right w:w="80" w:type="dxa"/>
            </w:tcMar>
          </w:tcPr>
          <w:p w14:paraId="010DA938" w14:textId="77777777" w:rsidR="00F61298" w:rsidRPr="002B6A08" w:rsidRDefault="004822B7">
            <w:pPr>
              <w:keepLines/>
              <w:spacing w:after="0" w:line="180" w:lineRule="exact"/>
              <w:ind w:firstLine="0"/>
              <w:jc w:val="left"/>
              <w:rPr>
                <w:color w:val="auto"/>
              </w:rPr>
            </w:pPr>
            <w:r w:rsidRPr="002B6A08">
              <w:rPr>
                <w:b/>
                <w:color w:val="auto"/>
                <w:sz w:val="16"/>
                <w:szCs w:val="16"/>
              </w:rPr>
              <w:t>Output / guardrail</w:t>
            </w:r>
          </w:p>
        </w:tc>
        <w:tc>
          <w:tcPr>
            <w:tcW w:w="2450" w:type="dxa"/>
            <w:tcBorders>
              <w:bottom w:val="single" w:sz="2" w:space="0" w:color="000000"/>
            </w:tcBorders>
            <w:tcMar>
              <w:top w:w="40" w:type="dxa"/>
              <w:left w:w="80" w:type="dxa"/>
              <w:bottom w:w="40" w:type="dxa"/>
              <w:right w:w="80" w:type="dxa"/>
            </w:tcMar>
          </w:tcPr>
          <w:p w14:paraId="04217003" w14:textId="77777777" w:rsidR="00F61298" w:rsidRPr="002B6A08" w:rsidRDefault="004822B7">
            <w:pPr>
              <w:keepLines/>
              <w:spacing w:after="0" w:line="180" w:lineRule="exact"/>
              <w:ind w:firstLine="0"/>
              <w:jc w:val="left"/>
              <w:rPr>
                <w:color w:val="auto"/>
              </w:rPr>
            </w:pPr>
            <w:r w:rsidRPr="002B6A08">
              <w:rPr>
                <w:color w:val="auto"/>
                <w:sz w:val="16"/>
                <w:szCs w:val="16"/>
              </w:rPr>
              <w:t>Output validity, traceability, and containment compliance.</w:t>
            </w:r>
          </w:p>
        </w:tc>
        <w:tc>
          <w:tcPr>
            <w:tcW w:w="2800" w:type="dxa"/>
            <w:tcBorders>
              <w:bottom w:val="single" w:sz="2" w:space="0" w:color="000000"/>
            </w:tcBorders>
            <w:tcMar>
              <w:top w:w="40" w:type="dxa"/>
              <w:left w:w="80" w:type="dxa"/>
              <w:bottom w:w="40" w:type="dxa"/>
              <w:right w:w="80" w:type="dxa"/>
            </w:tcMar>
          </w:tcPr>
          <w:p w14:paraId="11D2CC14" w14:textId="77777777" w:rsidR="00F61298" w:rsidRPr="002B6A08" w:rsidRDefault="004822B7">
            <w:pPr>
              <w:keepLines/>
              <w:spacing w:after="0" w:line="180" w:lineRule="exact"/>
              <w:ind w:firstLine="0"/>
              <w:jc w:val="left"/>
              <w:rPr>
                <w:color w:val="auto"/>
              </w:rPr>
            </w:pPr>
            <w:r w:rsidRPr="002B6A08">
              <w:rPr>
                <w:color w:val="auto"/>
                <w:sz w:val="16"/>
                <w:szCs w:val="16"/>
              </w:rPr>
              <w:t>Call records, schema checks, refusals, repair history, and fallback provenance.</w:t>
            </w:r>
          </w:p>
        </w:tc>
        <w:tc>
          <w:tcPr>
            <w:tcW w:w="3492" w:type="dxa"/>
            <w:tcBorders>
              <w:bottom w:val="single" w:sz="2" w:space="0" w:color="000000"/>
            </w:tcBorders>
            <w:tcMar>
              <w:top w:w="40" w:type="dxa"/>
              <w:left w:w="80" w:type="dxa"/>
              <w:bottom w:w="40" w:type="dxa"/>
              <w:right w:w="80" w:type="dxa"/>
            </w:tcMar>
          </w:tcPr>
          <w:p w14:paraId="5EEBE7F3" w14:textId="77777777" w:rsidR="00F61298" w:rsidRPr="002B6A08" w:rsidRDefault="004822B7">
            <w:pPr>
              <w:keepLines/>
              <w:spacing w:after="0" w:line="180" w:lineRule="exact"/>
              <w:ind w:firstLine="0"/>
              <w:jc w:val="left"/>
              <w:rPr>
                <w:color w:val="auto"/>
              </w:rPr>
            </w:pPr>
            <w:r w:rsidRPr="002B6A08">
              <w:rPr>
                <w:color w:val="auto"/>
                <w:sz w:val="16"/>
                <w:szCs w:val="16"/>
              </w:rPr>
              <w:t>Lowest required-call grade: unusable/containment violation (0); valid static fallback (1); repaired (2); valid without repair (3); complete verified references (4). Transport retries are separate.</w:t>
            </w:r>
          </w:p>
        </w:tc>
      </w:tr>
    </w:tbl>
    <w:p w14:paraId="57081DA7" w14:textId="77777777" w:rsidR="00F61298" w:rsidRDefault="00F61298">
      <w:pPr>
        <w:spacing w:after="0" w:line="20" w:lineRule="exact"/>
        <w:ind w:firstLine="0"/>
      </w:pPr>
    </w:p>
    <w:p w14:paraId="6D667B1D" w14:textId="77777777" w:rsidR="00F61298" w:rsidRPr="004062B9" w:rsidRDefault="004822B7">
      <w:pPr>
        <w:pStyle w:val="Heading2"/>
        <w:rPr>
          <w:iCs w:val="0"/>
          <w:color w:val="auto"/>
        </w:rPr>
      </w:pPr>
      <w:r w:rsidRPr="004062B9">
        <w:rPr>
          <w:color w:val="auto"/>
        </w:rPr>
        <w:t>D. Evaluation Metrics and Analysis</w:t>
      </w:r>
    </w:p>
    <w:p w14:paraId="1AD0017B" w14:textId="37AFBD3D" w:rsidR="008F6F5F" w:rsidRPr="00BE3585" w:rsidRDefault="00846E79" w:rsidP="008F6F5F">
      <w:pPr>
        <w:spacing w:line="228" w:lineRule="auto"/>
        <w:ind w:firstLine="289"/>
        <w:rPr>
          <w:color w:val="auto"/>
        </w:rPr>
      </w:pPr>
      <w:r w:rsidRPr="00BE3585">
        <w:rPr>
          <w:color w:val="auto"/>
        </w:rPr>
        <w:t xml:space="preserve">Table II defines five dimensions scored from 0 to 4. For payload and exploitation, </w:t>
      </w:r>
      <w:r w:rsidR="00066F76" w:rsidRPr="00BE3585">
        <w:rPr>
          <w:color w:val="auto"/>
        </w:rPr>
        <w:t xml:space="preserve">they </w:t>
      </w:r>
      <w:r w:rsidRPr="00BE3585">
        <w:rPr>
          <w:color w:val="auto"/>
        </w:rPr>
        <w:t>denote verified negative evidence, initial indication, partial result, independent confirmation, and confirmed downstream use</w:t>
      </w:r>
      <w:r w:rsidR="00066F76" w:rsidRPr="00BE3585">
        <w:rPr>
          <w:color w:val="auto"/>
        </w:rPr>
        <w:t xml:space="preserve"> respectively</w:t>
      </w:r>
      <w:r w:rsidRPr="00BE3585">
        <w:rPr>
          <w:color w:val="auto"/>
        </w:rPr>
        <w:t>. Dimensions lacking evidence or assessment are marked unavailable (N/A).</w:t>
      </w:r>
    </w:p>
    <w:p w14:paraId="53C39253" w14:textId="1D214293" w:rsidR="00F61298" w:rsidRPr="00066F76" w:rsidRDefault="00A31F59">
      <w:pPr>
        <w:keepNext/>
        <w:keepLines/>
        <w:spacing w:line="228" w:lineRule="auto"/>
        <w:ind w:firstLine="289"/>
        <w:rPr>
          <w:color w:val="auto"/>
        </w:rPr>
      </w:pPr>
      <w:r w:rsidRPr="00066F76">
        <w:rPr>
          <w:color w:val="auto"/>
        </w:rPr>
        <w:t xml:space="preserve">Score calculation of the method, payload, exploitation, chain, and output scores is based on Equation (1). </w:t>
      </w:r>
      <w:r w:rsidR="003D738A" w:rsidRPr="00066F76">
        <w:rPr>
          <w:color w:val="auto"/>
        </w:rPr>
        <w:t xml:space="preserve">The final </w:t>
      </w:r>
      <w:r w:rsidR="00E30610">
        <w:rPr>
          <w:color w:val="auto"/>
        </w:rPr>
        <w:t>manual</w:t>
      </w:r>
      <w:r w:rsidRPr="00066F76">
        <w:rPr>
          <w:color w:val="auto"/>
        </w:rPr>
        <w:t xml:space="preserve"> assessment needs all components and nonempty denominator of eligible candidates; the runtime scores are provisional in the meantime.</w:t>
      </w:r>
    </w:p>
    <w:p w14:paraId="7FD58D89" w14:textId="6E263756" w:rsidR="00F44A73" w:rsidRPr="00DB6548" w:rsidRDefault="00E30610" w:rsidP="00D06BFC">
      <w:pPr>
        <w:pStyle w:val="equation"/>
        <w:jc w:val="center"/>
      </w:pPr>
      <m:oMathPara>
        <m:oMath>
          <m:sSub>
            <m:sSubPr>
              <m:ctrlPr>
                <w:rPr>
                  <w:rFonts w:ascii="Cambria Math" w:hAnsi="Cambria Math"/>
                </w:rPr>
              </m:ctrlPr>
            </m:sSubPr>
            <m:e>
              <m:r>
                <w:rPr>
                  <w:rFonts w:ascii="Cambria Math" w:hAnsi="Cambria Math"/>
                </w:rPr>
                <m:t>S</m:t>
              </m:r>
            </m:e>
            <m:sub>
              <m:r>
                <w:rPr>
                  <w:rFonts w:ascii="Cambria Math" w:hAnsi="Cambria Math"/>
                </w:rPr>
                <m:t>run</m:t>
              </m:r>
            </m:sub>
          </m:sSub>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met</m:t>
              </m:r>
              <m:r>
                <w:rPr>
                  <w:rFonts w:ascii="Cambria Math" w:hAnsi="Cambria Math"/>
                </w:rPr>
                <m:t>h</m:t>
              </m:r>
              <m:r>
                <w:rPr>
                  <w:rFonts w:ascii="Cambria Math" w:hAnsi="Cambria Math"/>
                </w:rPr>
                <m:t>od</m:t>
              </m:r>
            </m:sub>
          </m:sSub>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payload</m:t>
              </m:r>
            </m:sub>
          </m:sSub>
          <m:r>
            <m:rPr>
              <m:sty m:val="p"/>
            </m:rPr>
            <w:br/>
          </m:r>
        </m:oMath>
      </m:oMathPara>
      <m:oMath>
        <m:r>
          <w:rPr>
            <w:rFonts w:ascii="Cambria Math" w:hAnsi="Cambria Math"/>
          </w:rPr>
          <m:t xml:space="preserve">                +0.30</m:t>
        </m:r>
        <m:sSub>
          <m:sSubPr>
            <m:ctrlPr>
              <w:rPr>
                <w:rFonts w:ascii="Cambria Math" w:hAnsi="Cambria Math"/>
              </w:rPr>
            </m:ctrlPr>
          </m:sSubPr>
          <m:e>
            <m:r>
              <w:rPr>
                <w:rFonts w:ascii="Cambria Math" w:hAnsi="Cambria Math"/>
              </w:rPr>
              <m:t>S</m:t>
            </m:r>
          </m:e>
          <m:sub>
            <m:r>
              <w:rPr>
                <w:rFonts w:ascii="Cambria Math" w:hAnsi="Cambria Math"/>
              </w:rPr>
              <m:t>exploit</m:t>
            </m:r>
          </m:sub>
        </m:sSub>
        <m:r>
          <w:rPr>
            <w:rFonts w:ascii="Cambria Math" w:hAnsi="Cambria Math"/>
          </w:rPr>
          <m:t>+0.10</m:t>
        </m:r>
        <m:sSub>
          <m:sSubPr>
            <m:ctrlPr>
              <w:rPr>
                <w:rFonts w:ascii="Cambria Math" w:hAnsi="Cambria Math"/>
              </w:rPr>
            </m:ctrlPr>
          </m:sSubPr>
          <m:e>
            <m:r>
              <w:rPr>
                <w:rFonts w:ascii="Cambria Math" w:hAnsi="Cambria Math"/>
              </w:rPr>
              <m:t>S</m:t>
            </m:r>
          </m:e>
          <m:sub>
            <m:r>
              <w:rPr>
                <w:rFonts w:ascii="Cambria Math" w:hAnsi="Cambria Math"/>
              </w:rPr>
              <m:t>c</m:t>
            </m:r>
            <m:r>
              <w:rPr>
                <w:rFonts w:ascii="Cambria Math" w:hAnsi="Cambria Math"/>
              </w:rPr>
              <m:t>h</m:t>
            </m:r>
            <m:r>
              <w:rPr>
                <w:rFonts w:ascii="Cambria Math" w:hAnsi="Cambria Math"/>
              </w:rPr>
              <m:t>ain</m:t>
            </m:r>
          </m:sub>
        </m:sSub>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output</m:t>
            </m:r>
          </m:sub>
        </m:sSub>
      </m:oMath>
      <w:r w:rsidR="00BA393B" w:rsidRPr="00DB6548">
        <w:t xml:space="preserve">   </w:t>
      </w:r>
      <w:r w:rsidR="00372E69" w:rsidRPr="00DB6548">
        <w:tab/>
      </w:r>
      <w:r w:rsidR="00BA393B" w:rsidRPr="00DB6548">
        <w:t>(</w:t>
      </w:r>
      <w:r w:rsidR="0069625D" w:rsidRPr="00DB6548">
        <w:t>1</w:t>
      </w:r>
      <w:r w:rsidR="00BA393B" w:rsidRPr="00DB6548">
        <w:t>)</w:t>
      </w:r>
    </w:p>
    <w:p w14:paraId="238E3339" w14:textId="53430F48" w:rsidR="00EA0445" w:rsidRPr="000D534A" w:rsidRDefault="00EA0445" w:rsidP="00EA0445">
      <w:pPr>
        <w:spacing w:line="228" w:lineRule="auto"/>
        <w:ind w:firstLine="289"/>
        <w:rPr>
          <w:color w:val="auto"/>
          <w:lang w:val="en-ID"/>
        </w:rPr>
      </w:pPr>
      <w:r w:rsidRPr="000D534A">
        <w:rPr>
          <w:color w:val="auto"/>
          <w:lang w:val="en-ID"/>
        </w:rPr>
        <w:t>Method-selection quality measures the quality of the chosen final method by means of a selection snapshot at the stage of the method selection process. A snapshot taken in a pre-execution reference state ranks all the available methods depending on their applicability and expected request requirements under the same budget, thus allowing for equally supported candidates to receive the top rank. The accuracy of the first selection is measured independently of any following steps</w:t>
      </w:r>
      <w:r w:rsidR="00441BA2" w:rsidRPr="000D534A">
        <w:rPr>
          <w:color w:val="auto"/>
          <w:lang w:val="en-ID"/>
        </w:rPr>
        <w:t>; subsequent</w:t>
      </w:r>
      <w:r w:rsidRPr="000D534A">
        <w:rPr>
          <w:color w:val="auto"/>
          <w:lang w:val="en-ID"/>
        </w:rPr>
        <w:t xml:space="preserve"> success does not imply the optimality of the initial decision.</w:t>
      </w:r>
    </w:p>
    <w:p w14:paraId="0E0CD993" w14:textId="0B536903" w:rsidR="00EA0445" w:rsidRPr="000D534A" w:rsidRDefault="00EA0445" w:rsidP="00EA0445">
      <w:pPr>
        <w:spacing w:line="228" w:lineRule="auto"/>
        <w:ind w:firstLine="289"/>
        <w:rPr>
          <w:color w:val="auto"/>
          <w:lang w:val="en-ID"/>
        </w:rPr>
      </w:pPr>
      <w:r w:rsidRPr="000D534A">
        <w:rPr>
          <w:color w:val="auto"/>
          <w:lang w:val="en-ID"/>
        </w:rPr>
        <w:t>Payload quality calculates the average of manual-assessed ratings for valid and executed exploit/bypass candidates belonging to the final method. An assessment connects a payload with its origin, evidence of execution and result verification. The review record contains the rubric version, the reason for the assessment and its date; retries, duplicates and fixed reviews do not generate new candidates or test results.</w:t>
      </w:r>
    </w:p>
    <w:p w14:paraId="0B06AD27" w14:textId="47992315" w:rsidR="00EA0445" w:rsidRPr="000D534A" w:rsidRDefault="00EA0445" w:rsidP="00EA0445">
      <w:pPr>
        <w:spacing w:line="228" w:lineRule="auto"/>
        <w:ind w:firstLine="289"/>
        <w:rPr>
          <w:color w:val="auto"/>
          <w:lang w:val="en-ID"/>
        </w:rPr>
      </w:pPr>
      <w:r w:rsidRPr="000D534A">
        <w:rPr>
          <w:color w:val="auto"/>
          <w:lang w:val="en-ID"/>
        </w:rPr>
        <w:t xml:space="preserve">Exploitation measures the quality of the result produced by the final method based on method-specific independent controls. Access Control should provide evidence of </w:t>
      </w:r>
      <w:proofErr w:type="gramStart"/>
      <w:r w:rsidRPr="000D534A">
        <w:rPr>
          <w:color w:val="auto"/>
          <w:lang w:val="en-ID"/>
        </w:rPr>
        <w:t>permission,</w:t>
      </w:r>
      <w:proofErr w:type="gramEnd"/>
      <w:r w:rsidRPr="000D534A">
        <w:rPr>
          <w:color w:val="auto"/>
          <w:lang w:val="en-ID"/>
        </w:rPr>
        <w:t xml:space="preserve"> Brute Force should prove independently that the identity is correctly identified in the new session while SQL Injection requires method-specific controls. The full confirmation rate measures the number of independently confirmed runs out of the assessable compatible runs. Lack of controls leaves the corresponding conclusion </w:t>
      </w:r>
      <w:proofErr w:type="gramStart"/>
      <w:r w:rsidRPr="000D534A">
        <w:rPr>
          <w:color w:val="auto"/>
          <w:lang w:val="en-ID"/>
        </w:rPr>
        <w:t>unresolved, but</w:t>
      </w:r>
      <w:proofErr w:type="gramEnd"/>
      <w:r w:rsidRPr="000D534A">
        <w:rPr>
          <w:color w:val="auto"/>
          <w:lang w:val="en-ID"/>
        </w:rPr>
        <w:t xml:space="preserve"> does not count as a negative result.</w:t>
      </w:r>
    </w:p>
    <w:p w14:paraId="5C46CAEB" w14:textId="43DC51D7" w:rsidR="00EA0445" w:rsidRPr="000D534A" w:rsidRDefault="00EA0445" w:rsidP="00EA0445">
      <w:pPr>
        <w:spacing w:line="228" w:lineRule="auto"/>
        <w:ind w:firstLine="289"/>
        <w:rPr>
          <w:color w:val="auto"/>
          <w:lang w:val="en-ID"/>
        </w:rPr>
      </w:pPr>
      <w:r w:rsidRPr="000D534A">
        <w:rPr>
          <w:color w:val="auto"/>
          <w:lang w:val="en-ID"/>
        </w:rPr>
        <w:t>Chaining measures the presence of a progression supported by the evidence of source, prerequisite, use and destination in relevant AKG relationships. Dependency controls independently verify whether the latter step depends on the result of the former one. A predefined AKG relationship and/or a series of successes are not sufficient for chaining.</w:t>
      </w:r>
    </w:p>
    <w:p w14:paraId="0F273CBC" w14:textId="18B995AD" w:rsidR="00F61298" w:rsidRPr="000D534A" w:rsidRDefault="00EA0445" w:rsidP="00EA0445">
      <w:pPr>
        <w:spacing w:line="228" w:lineRule="auto"/>
        <w:ind w:firstLine="289"/>
        <w:rPr>
          <w:color w:val="auto"/>
          <w:lang w:val="en-ID"/>
        </w:rPr>
      </w:pPr>
      <w:r w:rsidRPr="000D534A">
        <w:rPr>
          <w:color w:val="auto"/>
          <w:lang w:val="en-ID"/>
        </w:rPr>
        <w:t xml:space="preserve">Output quality uses the minimum supported grade of required experiment-model calls in the context of the final-method experiment. A </w:t>
      </w:r>
      <w:proofErr w:type="gramStart"/>
      <w:r w:rsidRPr="000D534A">
        <w:rPr>
          <w:color w:val="auto"/>
          <w:lang w:val="en-ID"/>
        </w:rPr>
        <w:t xml:space="preserve">succeeding </w:t>
      </w:r>
      <w:r w:rsidR="000D534A" w:rsidRPr="000D534A">
        <w:rPr>
          <w:color w:val="auto"/>
          <w:lang w:val="en-ID"/>
        </w:rPr>
        <w:t xml:space="preserve">later </w:t>
      </w:r>
      <w:r w:rsidRPr="000D534A">
        <w:rPr>
          <w:color w:val="auto"/>
          <w:lang w:val="en-ID"/>
        </w:rPr>
        <w:t>call</w:t>
      </w:r>
      <w:r w:rsidR="000D534A" w:rsidRPr="000D534A">
        <w:rPr>
          <w:color w:val="auto"/>
          <w:lang w:val="en-ID"/>
        </w:rPr>
        <w:t>s</w:t>
      </w:r>
      <w:proofErr w:type="gramEnd"/>
      <w:r w:rsidRPr="000D534A">
        <w:rPr>
          <w:color w:val="auto"/>
          <w:lang w:val="en-ID"/>
        </w:rPr>
        <w:t xml:space="preserve"> does not override the lower supported grade of another required call. Output repair and static fallbacks are distinguished from </w:t>
      </w:r>
      <w:r w:rsidRPr="000D534A">
        <w:rPr>
          <w:color w:val="auto"/>
          <w:lang w:val="en-ID"/>
        </w:rPr>
        <w:lastRenderedPageBreak/>
        <w:t>provider transport retries while manual evaluations are not included in the model-output score.</w:t>
      </w:r>
    </w:p>
    <w:p w14:paraId="2C14F2A5" w14:textId="71B2A3A4" w:rsidR="00F61298" w:rsidRDefault="00BA393B" w:rsidP="00A8602F">
      <w:pPr>
        <w:pStyle w:val="Heading1"/>
        <w:jc w:val="center"/>
      </w:pPr>
      <w:r>
        <w:t xml:space="preserve">IV. </w:t>
      </w:r>
      <w:r w:rsidR="00C856E3" w:rsidRPr="00C856E3">
        <w:t>RESULTS AND DISCUSSION</w:t>
      </w:r>
    </w:p>
    <w:p w14:paraId="3AAD72FE" w14:textId="3DBCD84B" w:rsidR="00F61298" w:rsidRDefault="00A8602F">
      <w:pPr>
        <w:pStyle w:val="Heading2"/>
      </w:pPr>
      <w:r w:rsidRPr="00D0723B">
        <w:rPr>
          <w:color w:val="auto"/>
        </w:rPr>
        <w:t>A</w:t>
      </w:r>
      <w:r w:rsidR="004822B7" w:rsidRPr="00D0723B">
        <w:rPr>
          <w:color w:val="auto"/>
        </w:rPr>
        <w:t xml:space="preserve">. </w:t>
      </w:r>
      <w:r w:rsidR="004822B7" w:rsidRPr="00EE1EF3">
        <w:rPr>
          <w:color w:val="auto"/>
        </w:rPr>
        <w:t>Effect of AKG Guidance on Selection and Verified Outcomes</w:t>
      </w:r>
    </w:p>
    <w:p w14:paraId="2B2145F4" w14:textId="282A5AAC" w:rsidR="00F61298" w:rsidRDefault="004822B7">
      <w:pPr>
        <w:spacing w:line="228" w:lineRule="auto"/>
        <w:ind w:firstLine="289"/>
      </w:pPr>
      <w:r>
        <w:rPr>
          <w:color w:val="FF0000"/>
        </w:rPr>
        <w:t xml:space="preserve">Table III compares five component scores, the final composite, first-choice accuracy, and full confirmation across the four model-condition groups. Each group comprises 27 planned runs across nine surface-level scenarios. Component summaries use their own assessed runs; the composite uses only runs with all required components and completed </w:t>
      </w:r>
      <w:r w:rsidR="00E30610">
        <w:rPr>
          <w:color w:val="FF0000"/>
        </w:rPr>
        <w:t>manual</w:t>
      </w:r>
      <w:r>
        <w:rPr>
          <w:color w:val="FF0000"/>
        </w:rPr>
        <w:t xml:space="preserve"> assessment.</w:t>
      </w:r>
    </w:p>
    <w:tbl>
      <w:tblPr>
        <w:tblpPr w:topFromText="120" w:bottomFromText="120" w:horzAnchor="margin" w:tblpXSpec="center" w:tblpYSpec="top"/>
        <w:tblOverlap w:val="never"/>
        <w:tblW w:w="10092" w:type="dxa"/>
        <w:jc w:val="center"/>
        <w:tblBorders>
          <w:top w:val="nil"/>
          <w:left w:val="nil"/>
          <w:bottom w:val="nil"/>
          <w:right w:val="nil"/>
          <w:insideH w:val="nil"/>
          <w:insideV w:val="nil"/>
        </w:tblBorders>
        <w:tblLayout w:type="fixed"/>
        <w:tblCellMar>
          <w:top w:w="55" w:type="dxa"/>
          <w:left w:w="45" w:type="dxa"/>
          <w:bottom w:w="55" w:type="dxa"/>
          <w:right w:w="45" w:type="dxa"/>
        </w:tblCellMar>
        <w:tblLook w:val="04A0" w:firstRow="1" w:lastRow="0" w:firstColumn="1" w:lastColumn="0" w:noHBand="0" w:noVBand="1"/>
      </w:tblPr>
      <w:tblGrid>
        <w:gridCol w:w="2200"/>
        <w:gridCol w:w="1973"/>
        <w:gridCol w:w="1973"/>
        <w:gridCol w:w="1973"/>
        <w:gridCol w:w="1973"/>
      </w:tblGrid>
      <w:tr w:rsidR="004E076F" w14:paraId="4E1C1C80" w14:textId="77777777">
        <w:trPr>
          <w:cantSplit/>
          <w:jc w:val="center"/>
        </w:trPr>
        <w:tc>
          <w:tcPr>
            <w:tcW w:w="10092" w:type="dxa"/>
            <w:gridSpan w:val="5"/>
          </w:tcPr>
          <w:p w14:paraId="368566A7" w14:textId="77777777" w:rsidR="00F61298" w:rsidRDefault="004822B7">
            <w:pPr>
              <w:pStyle w:val="tablehead"/>
              <w:keepNext/>
              <w:keepLines/>
              <w:spacing w:before="80" w:after="100" w:line="216" w:lineRule="exact"/>
            </w:pPr>
            <w:r>
              <w:rPr>
                <w:color w:val="FF0000"/>
              </w:rPr>
              <w:t>TABLE III. COMPONENT SCORES, COMPOSITE SCORE, AND VERIFIED OUTCOMES</w:t>
            </w:r>
          </w:p>
        </w:tc>
      </w:tr>
      <w:tr w:rsidR="004E076F" w14:paraId="4337E9FD" w14:textId="77777777">
        <w:trPr>
          <w:cantSplit/>
          <w:tblHeader/>
          <w:jc w:val="center"/>
        </w:trPr>
        <w:tc>
          <w:tcPr>
            <w:tcW w:w="2200" w:type="dxa"/>
            <w:tcBorders>
              <w:top w:val="single" w:sz="4" w:space="0" w:color="000000"/>
              <w:bottom w:val="single" w:sz="4" w:space="0" w:color="000000"/>
            </w:tcBorders>
            <w:vAlign w:val="center"/>
          </w:tcPr>
          <w:p w14:paraId="277E48DF" w14:textId="77777777" w:rsidR="004E076F" w:rsidRDefault="00E30610">
            <w:pPr>
              <w:keepNext/>
              <w:keepLines/>
              <w:spacing w:after="0" w:line="190" w:lineRule="exact"/>
              <w:ind w:firstLine="0"/>
              <w:jc w:val="left"/>
            </w:pPr>
            <w:r>
              <w:rPr>
                <w:b/>
                <w:color w:val="FF0000"/>
                <w:sz w:val="16"/>
                <w:szCs w:val="16"/>
              </w:rPr>
              <w:t>Metric</w:t>
            </w:r>
          </w:p>
        </w:tc>
        <w:tc>
          <w:tcPr>
            <w:tcW w:w="1973" w:type="dxa"/>
            <w:tcBorders>
              <w:top w:val="single" w:sz="4" w:space="0" w:color="000000"/>
              <w:bottom w:val="single" w:sz="4" w:space="0" w:color="000000"/>
            </w:tcBorders>
            <w:vAlign w:val="center"/>
          </w:tcPr>
          <w:p w14:paraId="32BE5BD8" w14:textId="77777777" w:rsidR="004E076F" w:rsidRDefault="00E30610">
            <w:pPr>
              <w:keepNext/>
              <w:keepLines/>
              <w:spacing w:after="0" w:line="190" w:lineRule="exact"/>
              <w:ind w:firstLine="0"/>
              <w:jc w:val="center"/>
            </w:pPr>
            <w:r>
              <w:rPr>
                <w:b/>
                <w:color w:val="FF0000"/>
                <w:sz w:val="16"/>
                <w:szCs w:val="16"/>
              </w:rPr>
              <w:t>DeepSeek V4.1</w:t>
            </w:r>
            <w:r>
              <w:rPr>
                <w:b/>
                <w:color w:val="FF0000"/>
                <w:sz w:val="16"/>
                <w:szCs w:val="16"/>
              </w:rPr>
              <w:br/>
              <w:t>Flash 1017</w:t>
            </w:r>
            <w:r>
              <w:rPr>
                <w:b/>
                <w:color w:val="FF0000"/>
                <w:sz w:val="16"/>
                <w:szCs w:val="16"/>
              </w:rPr>
              <w:br/>
              <w:t>Linear</w:t>
            </w:r>
          </w:p>
        </w:tc>
        <w:tc>
          <w:tcPr>
            <w:tcW w:w="1973" w:type="dxa"/>
            <w:tcBorders>
              <w:top w:val="single" w:sz="4" w:space="0" w:color="000000"/>
              <w:bottom w:val="single" w:sz="4" w:space="0" w:color="000000"/>
            </w:tcBorders>
            <w:vAlign w:val="center"/>
          </w:tcPr>
          <w:p w14:paraId="4BD63639" w14:textId="77777777" w:rsidR="004E076F" w:rsidRDefault="00E30610">
            <w:pPr>
              <w:keepNext/>
              <w:keepLines/>
              <w:spacing w:after="0" w:line="190" w:lineRule="exact"/>
              <w:ind w:firstLine="0"/>
              <w:jc w:val="center"/>
            </w:pPr>
            <w:r>
              <w:rPr>
                <w:b/>
                <w:color w:val="FF0000"/>
                <w:sz w:val="16"/>
                <w:szCs w:val="16"/>
              </w:rPr>
              <w:t>DeepSeek V4.1</w:t>
            </w:r>
            <w:r>
              <w:rPr>
                <w:b/>
                <w:color w:val="FF0000"/>
                <w:sz w:val="16"/>
                <w:szCs w:val="16"/>
              </w:rPr>
              <w:br/>
              <w:t>Flash 1017</w:t>
            </w:r>
            <w:r>
              <w:rPr>
                <w:b/>
                <w:color w:val="FF0000"/>
                <w:sz w:val="16"/>
                <w:szCs w:val="16"/>
              </w:rPr>
              <w:br/>
            </w:r>
            <w:r>
              <w:rPr>
                <w:b/>
                <w:color w:val="FF0000"/>
                <w:sz w:val="16"/>
                <w:szCs w:val="16"/>
              </w:rPr>
              <w:t>AKG-guided</w:t>
            </w:r>
          </w:p>
        </w:tc>
        <w:tc>
          <w:tcPr>
            <w:tcW w:w="1973" w:type="dxa"/>
            <w:tcBorders>
              <w:top w:val="single" w:sz="4" w:space="0" w:color="000000"/>
              <w:bottom w:val="single" w:sz="4" w:space="0" w:color="000000"/>
            </w:tcBorders>
            <w:vAlign w:val="center"/>
          </w:tcPr>
          <w:p w14:paraId="73EB10DB" w14:textId="77777777" w:rsidR="004E076F" w:rsidRDefault="00E30610">
            <w:pPr>
              <w:keepNext/>
              <w:keepLines/>
              <w:spacing w:after="0" w:line="190" w:lineRule="exact"/>
              <w:ind w:firstLine="0"/>
              <w:jc w:val="center"/>
            </w:pPr>
            <w:r>
              <w:rPr>
                <w:b/>
                <w:color w:val="FF0000"/>
                <w:sz w:val="16"/>
                <w:szCs w:val="16"/>
              </w:rPr>
              <w:t>GPT-6 Luna</w:t>
            </w:r>
            <w:r>
              <w:rPr>
                <w:b/>
                <w:color w:val="FF0000"/>
                <w:sz w:val="16"/>
                <w:szCs w:val="16"/>
              </w:rPr>
              <w:br/>
              <w:t>Linear</w:t>
            </w:r>
          </w:p>
        </w:tc>
        <w:tc>
          <w:tcPr>
            <w:tcW w:w="1973" w:type="dxa"/>
            <w:tcBorders>
              <w:top w:val="single" w:sz="4" w:space="0" w:color="000000"/>
              <w:bottom w:val="single" w:sz="4" w:space="0" w:color="000000"/>
            </w:tcBorders>
            <w:vAlign w:val="center"/>
          </w:tcPr>
          <w:p w14:paraId="1BF28DD5" w14:textId="77777777" w:rsidR="004E076F" w:rsidRDefault="00E30610">
            <w:pPr>
              <w:keepNext/>
              <w:keepLines/>
              <w:spacing w:after="0" w:line="190" w:lineRule="exact"/>
              <w:ind w:firstLine="0"/>
              <w:jc w:val="center"/>
            </w:pPr>
            <w:r>
              <w:rPr>
                <w:b/>
                <w:color w:val="FF0000"/>
                <w:sz w:val="16"/>
                <w:szCs w:val="16"/>
              </w:rPr>
              <w:t>GPT-6 Luna</w:t>
            </w:r>
            <w:r>
              <w:rPr>
                <w:b/>
                <w:color w:val="FF0000"/>
                <w:sz w:val="16"/>
                <w:szCs w:val="16"/>
              </w:rPr>
              <w:br/>
              <w:t>AKG-guided</w:t>
            </w:r>
          </w:p>
        </w:tc>
      </w:tr>
      <w:tr w:rsidR="004E076F" w14:paraId="1E0DB203" w14:textId="77777777">
        <w:trPr>
          <w:cantSplit/>
          <w:jc w:val="center"/>
        </w:trPr>
        <w:tc>
          <w:tcPr>
            <w:tcW w:w="2200" w:type="dxa"/>
            <w:vAlign w:val="center"/>
          </w:tcPr>
          <w:p w14:paraId="53185EEF" w14:textId="77777777" w:rsidR="004E076F" w:rsidRDefault="00E30610">
            <w:pPr>
              <w:keepNext/>
              <w:keepLines/>
              <w:spacing w:after="0" w:line="190" w:lineRule="exact"/>
              <w:ind w:firstLine="0"/>
              <w:jc w:val="left"/>
            </w:pPr>
            <w:r>
              <w:rPr>
                <w:color w:val="FF0000"/>
                <w:sz w:val="16"/>
                <w:szCs w:val="16"/>
              </w:rPr>
              <w:t xml:space="preserve">Method score, </w:t>
            </w:r>
            <w:r>
              <w:rPr>
                <w:i/>
                <w:color w:val="FF0000"/>
                <w:sz w:val="16"/>
                <w:szCs w:val="16"/>
              </w:rPr>
              <w:t>S</w:t>
            </w:r>
            <w:r>
              <w:rPr>
                <w:i/>
                <w:color w:val="FF0000"/>
                <w:sz w:val="16"/>
                <w:szCs w:val="16"/>
                <w:vertAlign w:val="subscript"/>
              </w:rPr>
              <w:t>method</w:t>
            </w:r>
          </w:p>
        </w:tc>
        <w:tc>
          <w:tcPr>
            <w:tcW w:w="1973" w:type="dxa"/>
            <w:vAlign w:val="center"/>
          </w:tcPr>
          <w:p w14:paraId="68FED05D" w14:textId="77777777" w:rsidR="004E076F" w:rsidRDefault="00E30610">
            <w:pPr>
              <w:keepNext/>
              <w:keepLines/>
              <w:spacing w:after="0" w:line="190" w:lineRule="exact"/>
              <w:ind w:firstLine="0"/>
              <w:jc w:val="center"/>
            </w:pPr>
            <w:r>
              <w:rPr>
                <w:color w:val="FF0000"/>
                <w:sz w:val="16"/>
                <w:szCs w:val="16"/>
              </w:rPr>
              <w:t>2.50 [2.00, 3.00]</w:t>
            </w:r>
            <w:r>
              <w:rPr>
                <w:color w:val="FF0000"/>
                <w:sz w:val="16"/>
                <w:szCs w:val="16"/>
              </w:rPr>
              <w:br/>
              <w:t>n=12</w:t>
            </w:r>
          </w:p>
        </w:tc>
        <w:tc>
          <w:tcPr>
            <w:tcW w:w="1973" w:type="dxa"/>
            <w:vAlign w:val="center"/>
          </w:tcPr>
          <w:p w14:paraId="128C5BF3" w14:textId="77777777" w:rsidR="004E076F" w:rsidRDefault="00E30610">
            <w:pPr>
              <w:keepNext/>
              <w:keepLines/>
              <w:spacing w:after="0" w:line="190" w:lineRule="exact"/>
              <w:ind w:firstLine="0"/>
              <w:jc w:val="center"/>
            </w:pPr>
            <w:r>
              <w:rPr>
                <w:color w:val="FF0000"/>
                <w:sz w:val="16"/>
                <w:szCs w:val="16"/>
              </w:rPr>
              <w:t>2.50 [2.00, 3.00]</w:t>
            </w:r>
            <w:r>
              <w:rPr>
                <w:color w:val="FF0000"/>
                <w:sz w:val="16"/>
                <w:szCs w:val="16"/>
              </w:rPr>
              <w:br/>
              <w:t>n=12</w:t>
            </w:r>
          </w:p>
        </w:tc>
        <w:tc>
          <w:tcPr>
            <w:tcW w:w="1973" w:type="dxa"/>
            <w:vAlign w:val="center"/>
          </w:tcPr>
          <w:p w14:paraId="2DB03CCA" w14:textId="77777777" w:rsidR="004E076F" w:rsidRDefault="00E30610">
            <w:pPr>
              <w:keepNext/>
              <w:keepLines/>
              <w:spacing w:after="0" w:line="190" w:lineRule="exact"/>
              <w:ind w:firstLine="0"/>
              <w:jc w:val="center"/>
            </w:pPr>
            <w:r>
              <w:rPr>
                <w:color w:val="FF0000"/>
                <w:sz w:val="16"/>
                <w:szCs w:val="16"/>
              </w:rPr>
              <w:t>2.50 [2.00, 3.00]</w:t>
            </w:r>
            <w:r>
              <w:rPr>
                <w:color w:val="FF0000"/>
                <w:sz w:val="16"/>
                <w:szCs w:val="16"/>
              </w:rPr>
              <w:br/>
              <w:t>n=12</w:t>
            </w:r>
          </w:p>
        </w:tc>
        <w:tc>
          <w:tcPr>
            <w:tcW w:w="1973" w:type="dxa"/>
            <w:vAlign w:val="center"/>
          </w:tcPr>
          <w:p w14:paraId="5D18DE1C" w14:textId="77777777" w:rsidR="004E076F" w:rsidRDefault="00E30610">
            <w:pPr>
              <w:keepNext/>
              <w:keepLines/>
              <w:spacing w:after="0" w:line="190" w:lineRule="exact"/>
              <w:ind w:firstLine="0"/>
              <w:jc w:val="center"/>
            </w:pPr>
            <w:r>
              <w:rPr>
                <w:color w:val="FF0000"/>
                <w:sz w:val="16"/>
                <w:szCs w:val="16"/>
              </w:rPr>
              <w:t>2.50 [2.00, 3.00]</w:t>
            </w:r>
            <w:r>
              <w:rPr>
                <w:color w:val="FF0000"/>
                <w:sz w:val="16"/>
                <w:szCs w:val="16"/>
              </w:rPr>
              <w:br/>
              <w:t>n=12</w:t>
            </w:r>
          </w:p>
        </w:tc>
      </w:tr>
      <w:tr w:rsidR="004E076F" w14:paraId="1B5DBA69" w14:textId="77777777">
        <w:trPr>
          <w:cantSplit/>
          <w:jc w:val="center"/>
        </w:trPr>
        <w:tc>
          <w:tcPr>
            <w:tcW w:w="2200" w:type="dxa"/>
            <w:vAlign w:val="center"/>
          </w:tcPr>
          <w:p w14:paraId="0E72EEC4" w14:textId="77777777" w:rsidR="004E076F" w:rsidRDefault="00E30610">
            <w:pPr>
              <w:keepNext/>
              <w:keepLines/>
              <w:spacing w:after="0" w:line="190" w:lineRule="exact"/>
              <w:ind w:firstLine="0"/>
              <w:jc w:val="left"/>
            </w:pPr>
            <w:r>
              <w:rPr>
                <w:color w:val="FF0000"/>
                <w:sz w:val="16"/>
                <w:szCs w:val="16"/>
              </w:rPr>
              <w:t xml:space="preserve">Payload score, </w:t>
            </w:r>
            <w:r>
              <w:rPr>
                <w:i/>
                <w:color w:val="FF0000"/>
                <w:sz w:val="16"/>
                <w:szCs w:val="16"/>
              </w:rPr>
              <w:t>S</w:t>
            </w:r>
            <w:r>
              <w:rPr>
                <w:i/>
                <w:color w:val="FF0000"/>
                <w:sz w:val="16"/>
                <w:szCs w:val="16"/>
                <w:vertAlign w:val="subscript"/>
              </w:rPr>
              <w:t>payload</w:t>
            </w:r>
          </w:p>
        </w:tc>
        <w:tc>
          <w:tcPr>
            <w:tcW w:w="1973" w:type="dxa"/>
            <w:vAlign w:val="center"/>
          </w:tcPr>
          <w:p w14:paraId="6A3E883A" w14:textId="77777777" w:rsidR="004E076F" w:rsidRDefault="00E30610">
            <w:pPr>
              <w:keepNext/>
              <w:keepLines/>
              <w:spacing w:after="0" w:line="190" w:lineRule="exact"/>
              <w:ind w:firstLine="0"/>
              <w:jc w:val="center"/>
            </w:pPr>
            <w:r>
              <w:rPr>
                <w:color w:val="FF0000"/>
                <w:sz w:val="16"/>
                <w:szCs w:val="16"/>
              </w:rPr>
              <w:t>3.00 [2.42, 3.00]</w:t>
            </w:r>
            <w:r>
              <w:rPr>
                <w:color w:val="FF0000"/>
                <w:sz w:val="16"/>
                <w:szCs w:val="16"/>
              </w:rPr>
              <w:br/>
              <w:t>n=12</w:t>
            </w:r>
          </w:p>
        </w:tc>
        <w:tc>
          <w:tcPr>
            <w:tcW w:w="1973" w:type="dxa"/>
            <w:vAlign w:val="center"/>
          </w:tcPr>
          <w:p w14:paraId="7BFD0DA8" w14:textId="77777777" w:rsidR="004E076F" w:rsidRDefault="00E30610">
            <w:pPr>
              <w:keepNext/>
              <w:keepLines/>
              <w:spacing w:after="0" w:line="190" w:lineRule="exact"/>
              <w:ind w:firstLine="0"/>
              <w:jc w:val="center"/>
            </w:pPr>
            <w:r>
              <w:rPr>
                <w:color w:val="FF0000"/>
                <w:sz w:val="16"/>
                <w:szCs w:val="16"/>
              </w:rPr>
              <w:t>3.00 [2.13, 3.00]</w:t>
            </w:r>
            <w:r>
              <w:rPr>
                <w:color w:val="FF0000"/>
                <w:sz w:val="16"/>
                <w:szCs w:val="16"/>
              </w:rPr>
              <w:br/>
              <w:t>n=12</w:t>
            </w:r>
          </w:p>
        </w:tc>
        <w:tc>
          <w:tcPr>
            <w:tcW w:w="1973" w:type="dxa"/>
            <w:vAlign w:val="center"/>
          </w:tcPr>
          <w:p w14:paraId="3601D826" w14:textId="77777777" w:rsidR="004E076F" w:rsidRDefault="00E30610">
            <w:pPr>
              <w:keepNext/>
              <w:keepLines/>
              <w:spacing w:after="0" w:line="190" w:lineRule="exact"/>
              <w:ind w:firstLine="0"/>
              <w:jc w:val="center"/>
            </w:pPr>
            <w:r>
              <w:rPr>
                <w:color w:val="FF0000"/>
                <w:sz w:val="16"/>
                <w:szCs w:val="16"/>
              </w:rPr>
              <w:t>3.00 [2.13, 3.00]</w:t>
            </w:r>
            <w:r>
              <w:rPr>
                <w:color w:val="FF0000"/>
                <w:sz w:val="16"/>
                <w:szCs w:val="16"/>
              </w:rPr>
              <w:br/>
              <w:t>n=12</w:t>
            </w:r>
          </w:p>
        </w:tc>
        <w:tc>
          <w:tcPr>
            <w:tcW w:w="1973" w:type="dxa"/>
            <w:vAlign w:val="center"/>
          </w:tcPr>
          <w:p w14:paraId="7FCDF5DA" w14:textId="77777777" w:rsidR="004E076F" w:rsidRDefault="00E30610">
            <w:pPr>
              <w:keepNext/>
              <w:keepLines/>
              <w:spacing w:after="0" w:line="190" w:lineRule="exact"/>
              <w:ind w:firstLine="0"/>
              <w:jc w:val="center"/>
            </w:pPr>
            <w:r>
              <w:rPr>
                <w:color w:val="FF0000"/>
                <w:sz w:val="16"/>
                <w:szCs w:val="16"/>
              </w:rPr>
              <w:t>3.00 [2.13, 3.00]</w:t>
            </w:r>
            <w:r>
              <w:rPr>
                <w:color w:val="FF0000"/>
                <w:sz w:val="16"/>
                <w:szCs w:val="16"/>
              </w:rPr>
              <w:br/>
              <w:t>n=12</w:t>
            </w:r>
          </w:p>
        </w:tc>
      </w:tr>
      <w:tr w:rsidR="004E076F" w14:paraId="4C97414F" w14:textId="77777777">
        <w:trPr>
          <w:cantSplit/>
          <w:jc w:val="center"/>
        </w:trPr>
        <w:tc>
          <w:tcPr>
            <w:tcW w:w="2200" w:type="dxa"/>
            <w:vAlign w:val="center"/>
          </w:tcPr>
          <w:p w14:paraId="75C51EB1" w14:textId="77777777" w:rsidR="004E076F" w:rsidRDefault="00E30610">
            <w:pPr>
              <w:keepNext/>
              <w:keepLines/>
              <w:spacing w:after="0" w:line="190" w:lineRule="exact"/>
              <w:ind w:firstLine="0"/>
              <w:jc w:val="left"/>
            </w:pPr>
            <w:r>
              <w:rPr>
                <w:color w:val="FF0000"/>
                <w:sz w:val="16"/>
                <w:szCs w:val="16"/>
              </w:rPr>
              <w:t xml:space="preserve">Exploit score, </w:t>
            </w:r>
            <w:r>
              <w:rPr>
                <w:i/>
                <w:color w:val="FF0000"/>
                <w:sz w:val="16"/>
                <w:szCs w:val="16"/>
              </w:rPr>
              <w:t>S</w:t>
            </w:r>
            <w:r>
              <w:rPr>
                <w:i/>
                <w:color w:val="FF0000"/>
                <w:sz w:val="16"/>
                <w:szCs w:val="16"/>
                <w:vertAlign w:val="subscript"/>
              </w:rPr>
              <w:t>exploit</w:t>
            </w:r>
          </w:p>
        </w:tc>
        <w:tc>
          <w:tcPr>
            <w:tcW w:w="1973" w:type="dxa"/>
            <w:vAlign w:val="center"/>
          </w:tcPr>
          <w:p w14:paraId="26375042"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c>
          <w:tcPr>
            <w:tcW w:w="1973" w:type="dxa"/>
            <w:vAlign w:val="center"/>
          </w:tcPr>
          <w:p w14:paraId="330EB371"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c>
          <w:tcPr>
            <w:tcW w:w="1973" w:type="dxa"/>
            <w:vAlign w:val="center"/>
          </w:tcPr>
          <w:p w14:paraId="5606CA1F"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c>
          <w:tcPr>
            <w:tcW w:w="1973" w:type="dxa"/>
            <w:vAlign w:val="center"/>
          </w:tcPr>
          <w:p w14:paraId="5D84D975"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r>
      <w:tr w:rsidR="004E076F" w14:paraId="560EC462" w14:textId="77777777">
        <w:trPr>
          <w:cantSplit/>
          <w:jc w:val="center"/>
        </w:trPr>
        <w:tc>
          <w:tcPr>
            <w:tcW w:w="2200" w:type="dxa"/>
            <w:vAlign w:val="center"/>
          </w:tcPr>
          <w:p w14:paraId="61B14B70" w14:textId="77777777" w:rsidR="004E076F" w:rsidRDefault="00E30610">
            <w:pPr>
              <w:keepNext/>
              <w:keepLines/>
              <w:spacing w:after="0" w:line="190" w:lineRule="exact"/>
              <w:ind w:firstLine="0"/>
              <w:jc w:val="left"/>
            </w:pPr>
            <w:r>
              <w:rPr>
                <w:color w:val="FF0000"/>
                <w:sz w:val="16"/>
                <w:szCs w:val="16"/>
              </w:rPr>
              <w:t xml:space="preserve">Chain score, </w:t>
            </w:r>
            <w:r>
              <w:rPr>
                <w:i/>
                <w:color w:val="FF0000"/>
                <w:sz w:val="16"/>
                <w:szCs w:val="16"/>
              </w:rPr>
              <w:t>S</w:t>
            </w:r>
            <w:r>
              <w:rPr>
                <w:i/>
                <w:color w:val="FF0000"/>
                <w:sz w:val="16"/>
                <w:szCs w:val="16"/>
                <w:vertAlign w:val="subscript"/>
              </w:rPr>
              <w:t>chain</w:t>
            </w:r>
          </w:p>
        </w:tc>
        <w:tc>
          <w:tcPr>
            <w:tcW w:w="1973" w:type="dxa"/>
            <w:vAlign w:val="center"/>
          </w:tcPr>
          <w:p w14:paraId="69A7FC6C" w14:textId="77777777" w:rsidR="004E076F" w:rsidRDefault="00E30610">
            <w:pPr>
              <w:keepNext/>
              <w:keepLines/>
              <w:spacing w:after="0" w:line="190" w:lineRule="exact"/>
              <w:ind w:firstLine="0"/>
              <w:jc w:val="center"/>
            </w:pPr>
            <w:r>
              <w:rPr>
                <w:color w:val="FF0000"/>
                <w:sz w:val="16"/>
                <w:szCs w:val="16"/>
              </w:rPr>
              <w:t>0.00 [0.00, 0.00]</w:t>
            </w:r>
            <w:r>
              <w:rPr>
                <w:color w:val="FF0000"/>
                <w:sz w:val="16"/>
                <w:szCs w:val="16"/>
              </w:rPr>
              <w:br/>
              <w:t>n=12</w:t>
            </w:r>
          </w:p>
        </w:tc>
        <w:tc>
          <w:tcPr>
            <w:tcW w:w="1973" w:type="dxa"/>
            <w:vAlign w:val="center"/>
          </w:tcPr>
          <w:p w14:paraId="6C8BBB49" w14:textId="77777777" w:rsidR="004E076F" w:rsidRDefault="00E30610">
            <w:pPr>
              <w:keepNext/>
              <w:keepLines/>
              <w:spacing w:after="0" w:line="190" w:lineRule="exact"/>
              <w:ind w:firstLine="0"/>
              <w:jc w:val="center"/>
            </w:pPr>
            <w:r>
              <w:rPr>
                <w:color w:val="FF0000"/>
                <w:sz w:val="16"/>
                <w:szCs w:val="16"/>
              </w:rPr>
              <w:t>0.00 [0.00, 0.00]</w:t>
            </w:r>
            <w:r>
              <w:rPr>
                <w:color w:val="FF0000"/>
                <w:sz w:val="16"/>
                <w:szCs w:val="16"/>
              </w:rPr>
              <w:br/>
              <w:t>n=12</w:t>
            </w:r>
          </w:p>
        </w:tc>
        <w:tc>
          <w:tcPr>
            <w:tcW w:w="1973" w:type="dxa"/>
            <w:vAlign w:val="center"/>
          </w:tcPr>
          <w:p w14:paraId="479CC99E" w14:textId="77777777" w:rsidR="004E076F" w:rsidRDefault="00E30610">
            <w:pPr>
              <w:keepNext/>
              <w:keepLines/>
              <w:spacing w:after="0" w:line="190" w:lineRule="exact"/>
              <w:ind w:firstLine="0"/>
              <w:jc w:val="center"/>
            </w:pPr>
            <w:r>
              <w:rPr>
                <w:color w:val="FF0000"/>
                <w:sz w:val="16"/>
                <w:szCs w:val="16"/>
              </w:rPr>
              <w:t>0.00 [0.00, 0.00]</w:t>
            </w:r>
            <w:r>
              <w:rPr>
                <w:color w:val="FF0000"/>
                <w:sz w:val="16"/>
                <w:szCs w:val="16"/>
              </w:rPr>
              <w:br/>
              <w:t>n=12</w:t>
            </w:r>
          </w:p>
        </w:tc>
        <w:tc>
          <w:tcPr>
            <w:tcW w:w="1973" w:type="dxa"/>
            <w:vAlign w:val="center"/>
          </w:tcPr>
          <w:p w14:paraId="64EF9407" w14:textId="77777777" w:rsidR="004E076F" w:rsidRDefault="00E30610">
            <w:pPr>
              <w:keepNext/>
              <w:keepLines/>
              <w:spacing w:after="0" w:line="190" w:lineRule="exact"/>
              <w:ind w:firstLine="0"/>
              <w:jc w:val="center"/>
            </w:pPr>
            <w:r>
              <w:rPr>
                <w:color w:val="FF0000"/>
                <w:sz w:val="16"/>
                <w:szCs w:val="16"/>
              </w:rPr>
              <w:t>0.00 [0.00, 0.00]</w:t>
            </w:r>
            <w:r>
              <w:rPr>
                <w:color w:val="FF0000"/>
                <w:sz w:val="16"/>
                <w:szCs w:val="16"/>
              </w:rPr>
              <w:br/>
              <w:t>n=12</w:t>
            </w:r>
          </w:p>
        </w:tc>
      </w:tr>
      <w:tr w:rsidR="004E076F" w14:paraId="6FC1813A" w14:textId="77777777">
        <w:trPr>
          <w:cantSplit/>
          <w:jc w:val="center"/>
        </w:trPr>
        <w:tc>
          <w:tcPr>
            <w:tcW w:w="2200" w:type="dxa"/>
            <w:vAlign w:val="center"/>
          </w:tcPr>
          <w:p w14:paraId="0F90B667" w14:textId="77777777" w:rsidR="004E076F" w:rsidRDefault="00E30610">
            <w:pPr>
              <w:keepNext/>
              <w:keepLines/>
              <w:spacing w:after="0" w:line="190" w:lineRule="exact"/>
              <w:ind w:firstLine="0"/>
              <w:jc w:val="left"/>
            </w:pPr>
            <w:r>
              <w:rPr>
                <w:color w:val="FF0000"/>
                <w:sz w:val="16"/>
                <w:szCs w:val="16"/>
              </w:rPr>
              <w:t xml:space="preserve">Output score, </w:t>
            </w:r>
            <w:r>
              <w:rPr>
                <w:i/>
                <w:color w:val="FF0000"/>
                <w:sz w:val="16"/>
                <w:szCs w:val="16"/>
              </w:rPr>
              <w:t>S</w:t>
            </w:r>
            <w:r>
              <w:rPr>
                <w:i/>
                <w:color w:val="FF0000"/>
                <w:sz w:val="16"/>
                <w:szCs w:val="16"/>
                <w:vertAlign w:val="subscript"/>
              </w:rPr>
              <w:t>output</w:t>
            </w:r>
          </w:p>
        </w:tc>
        <w:tc>
          <w:tcPr>
            <w:tcW w:w="1973" w:type="dxa"/>
            <w:vAlign w:val="center"/>
          </w:tcPr>
          <w:p w14:paraId="3DB235E1"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c>
          <w:tcPr>
            <w:tcW w:w="1973" w:type="dxa"/>
            <w:vAlign w:val="center"/>
          </w:tcPr>
          <w:p w14:paraId="78C9D5DF"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c>
          <w:tcPr>
            <w:tcW w:w="1973" w:type="dxa"/>
            <w:vAlign w:val="center"/>
          </w:tcPr>
          <w:p w14:paraId="721EC3BF"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c>
          <w:tcPr>
            <w:tcW w:w="1973" w:type="dxa"/>
            <w:vAlign w:val="center"/>
          </w:tcPr>
          <w:p w14:paraId="21485A6B" w14:textId="77777777" w:rsidR="004E076F" w:rsidRDefault="00E30610">
            <w:pPr>
              <w:keepNext/>
              <w:keepLines/>
              <w:spacing w:after="0" w:line="190" w:lineRule="exact"/>
              <w:ind w:firstLine="0"/>
              <w:jc w:val="center"/>
            </w:pPr>
            <w:r>
              <w:rPr>
                <w:color w:val="FF0000"/>
                <w:sz w:val="16"/>
                <w:szCs w:val="16"/>
              </w:rPr>
              <w:t>3.00 [3.00, 3.00]</w:t>
            </w:r>
            <w:r>
              <w:rPr>
                <w:color w:val="FF0000"/>
                <w:sz w:val="16"/>
                <w:szCs w:val="16"/>
              </w:rPr>
              <w:br/>
              <w:t>n=12</w:t>
            </w:r>
          </w:p>
        </w:tc>
      </w:tr>
      <w:tr w:rsidR="004E076F" w14:paraId="3C0983A1" w14:textId="77777777">
        <w:trPr>
          <w:cantSplit/>
          <w:jc w:val="center"/>
        </w:trPr>
        <w:tc>
          <w:tcPr>
            <w:tcW w:w="2200" w:type="dxa"/>
            <w:vAlign w:val="center"/>
          </w:tcPr>
          <w:p w14:paraId="6D877D69" w14:textId="77777777" w:rsidR="004E076F" w:rsidRDefault="00E30610">
            <w:pPr>
              <w:keepNext/>
              <w:keepLines/>
              <w:spacing w:after="0" w:line="190" w:lineRule="exact"/>
              <w:ind w:firstLine="0"/>
              <w:jc w:val="left"/>
            </w:pPr>
            <w:r>
              <w:rPr>
                <w:b/>
                <w:color w:val="FF0000"/>
                <w:sz w:val="16"/>
                <w:szCs w:val="16"/>
              </w:rPr>
              <w:t xml:space="preserve">Final composite, </w:t>
            </w:r>
            <w:r>
              <w:rPr>
                <w:b/>
                <w:i/>
                <w:color w:val="FF0000"/>
                <w:sz w:val="16"/>
                <w:szCs w:val="16"/>
              </w:rPr>
              <w:t>S</w:t>
            </w:r>
            <w:r>
              <w:rPr>
                <w:b/>
                <w:i/>
                <w:color w:val="FF0000"/>
                <w:sz w:val="16"/>
                <w:szCs w:val="16"/>
                <w:vertAlign w:val="subscript"/>
              </w:rPr>
              <w:t>run</w:t>
            </w:r>
          </w:p>
        </w:tc>
        <w:tc>
          <w:tcPr>
            <w:tcW w:w="1973" w:type="dxa"/>
            <w:vAlign w:val="center"/>
          </w:tcPr>
          <w:p w14:paraId="01E3225B" w14:textId="77777777" w:rsidR="004E076F" w:rsidRDefault="00E30610">
            <w:pPr>
              <w:keepNext/>
              <w:keepLines/>
              <w:spacing w:after="0" w:line="190" w:lineRule="exact"/>
              <w:ind w:firstLine="0"/>
              <w:jc w:val="center"/>
            </w:pPr>
            <w:r>
              <w:rPr>
                <w:b/>
                <w:color w:val="FF0000"/>
                <w:sz w:val="16"/>
                <w:szCs w:val="16"/>
              </w:rPr>
              <w:t>2.60 [2.38, 2.70]</w:t>
            </w:r>
            <w:r>
              <w:rPr>
                <w:b/>
                <w:color w:val="FF0000"/>
                <w:sz w:val="16"/>
                <w:szCs w:val="16"/>
              </w:rPr>
              <w:br/>
              <w:t>n=12</w:t>
            </w:r>
          </w:p>
        </w:tc>
        <w:tc>
          <w:tcPr>
            <w:tcW w:w="1973" w:type="dxa"/>
            <w:vAlign w:val="center"/>
          </w:tcPr>
          <w:p w14:paraId="01A99E42" w14:textId="77777777" w:rsidR="004E076F" w:rsidRDefault="00E30610">
            <w:pPr>
              <w:keepNext/>
              <w:keepLines/>
              <w:spacing w:after="0" w:line="190" w:lineRule="exact"/>
              <w:ind w:firstLine="0"/>
              <w:jc w:val="center"/>
            </w:pPr>
            <w:r>
              <w:rPr>
                <w:b/>
                <w:color w:val="FF0000"/>
                <w:sz w:val="16"/>
                <w:szCs w:val="16"/>
              </w:rPr>
              <w:t>2.60 [2.38, 2.70]</w:t>
            </w:r>
            <w:r>
              <w:rPr>
                <w:b/>
                <w:color w:val="FF0000"/>
                <w:sz w:val="16"/>
                <w:szCs w:val="16"/>
              </w:rPr>
              <w:br/>
              <w:t>n=12</w:t>
            </w:r>
          </w:p>
        </w:tc>
        <w:tc>
          <w:tcPr>
            <w:tcW w:w="1973" w:type="dxa"/>
            <w:vAlign w:val="center"/>
          </w:tcPr>
          <w:p w14:paraId="6328E8FF" w14:textId="77777777" w:rsidR="004E076F" w:rsidRDefault="00E30610">
            <w:pPr>
              <w:keepNext/>
              <w:keepLines/>
              <w:spacing w:after="0" w:line="190" w:lineRule="exact"/>
              <w:ind w:firstLine="0"/>
              <w:jc w:val="center"/>
            </w:pPr>
            <w:r>
              <w:rPr>
                <w:b/>
                <w:color w:val="FF0000"/>
                <w:sz w:val="16"/>
                <w:szCs w:val="16"/>
              </w:rPr>
              <w:t>2.45 [2.25, 2.70]</w:t>
            </w:r>
            <w:r>
              <w:rPr>
                <w:b/>
                <w:color w:val="FF0000"/>
                <w:sz w:val="16"/>
                <w:szCs w:val="16"/>
              </w:rPr>
              <w:br/>
              <w:t>n=12</w:t>
            </w:r>
          </w:p>
        </w:tc>
        <w:tc>
          <w:tcPr>
            <w:tcW w:w="1973" w:type="dxa"/>
            <w:vAlign w:val="center"/>
          </w:tcPr>
          <w:p w14:paraId="337F771E" w14:textId="77777777" w:rsidR="004E076F" w:rsidRDefault="00E30610">
            <w:pPr>
              <w:keepNext/>
              <w:keepLines/>
              <w:spacing w:after="0" w:line="190" w:lineRule="exact"/>
              <w:ind w:firstLine="0"/>
              <w:jc w:val="center"/>
            </w:pPr>
            <w:r>
              <w:rPr>
                <w:b/>
                <w:color w:val="FF0000"/>
                <w:sz w:val="16"/>
                <w:szCs w:val="16"/>
              </w:rPr>
              <w:t>2.50 [2.25, 2.70]</w:t>
            </w:r>
            <w:r>
              <w:rPr>
                <w:b/>
                <w:color w:val="FF0000"/>
                <w:sz w:val="16"/>
                <w:szCs w:val="16"/>
              </w:rPr>
              <w:br/>
              <w:t>n=12</w:t>
            </w:r>
          </w:p>
        </w:tc>
      </w:tr>
      <w:tr w:rsidR="004E076F" w14:paraId="4F8FA492" w14:textId="77777777">
        <w:trPr>
          <w:cantSplit/>
          <w:jc w:val="center"/>
        </w:trPr>
        <w:tc>
          <w:tcPr>
            <w:tcW w:w="2200" w:type="dxa"/>
            <w:vAlign w:val="center"/>
          </w:tcPr>
          <w:p w14:paraId="540B8723" w14:textId="77777777" w:rsidR="004E076F" w:rsidRDefault="00E30610">
            <w:pPr>
              <w:keepNext/>
              <w:keepLines/>
              <w:spacing w:after="0" w:line="190" w:lineRule="exact"/>
              <w:ind w:firstLine="0"/>
              <w:jc w:val="left"/>
            </w:pPr>
            <w:r>
              <w:rPr>
                <w:color w:val="FF0000"/>
                <w:sz w:val="16"/>
                <w:szCs w:val="16"/>
              </w:rPr>
              <w:t>First-choice accuracy</w:t>
            </w:r>
          </w:p>
        </w:tc>
        <w:tc>
          <w:tcPr>
            <w:tcW w:w="1973" w:type="dxa"/>
            <w:vAlign w:val="center"/>
          </w:tcPr>
          <w:p w14:paraId="594C26C6" w14:textId="77777777" w:rsidR="004E076F" w:rsidRDefault="00E30610">
            <w:pPr>
              <w:keepNext/>
              <w:keepLines/>
              <w:spacing w:after="0" w:line="190" w:lineRule="exact"/>
              <w:ind w:firstLine="0"/>
              <w:jc w:val="center"/>
            </w:pPr>
            <w:r>
              <w:rPr>
                <w:color w:val="FF0000"/>
                <w:sz w:val="16"/>
                <w:szCs w:val="16"/>
              </w:rPr>
              <w:t>12/12</w:t>
            </w:r>
          </w:p>
        </w:tc>
        <w:tc>
          <w:tcPr>
            <w:tcW w:w="1973" w:type="dxa"/>
            <w:vAlign w:val="center"/>
          </w:tcPr>
          <w:p w14:paraId="59786AB2" w14:textId="77777777" w:rsidR="004E076F" w:rsidRDefault="00E30610">
            <w:pPr>
              <w:keepNext/>
              <w:keepLines/>
              <w:spacing w:after="0" w:line="190" w:lineRule="exact"/>
              <w:ind w:firstLine="0"/>
              <w:jc w:val="center"/>
            </w:pPr>
            <w:r>
              <w:rPr>
                <w:color w:val="FF0000"/>
                <w:sz w:val="16"/>
                <w:szCs w:val="16"/>
              </w:rPr>
              <w:t>12/12</w:t>
            </w:r>
          </w:p>
        </w:tc>
        <w:tc>
          <w:tcPr>
            <w:tcW w:w="1973" w:type="dxa"/>
            <w:vAlign w:val="center"/>
          </w:tcPr>
          <w:p w14:paraId="7BA216A9" w14:textId="77777777" w:rsidR="004E076F" w:rsidRDefault="00E30610">
            <w:pPr>
              <w:keepNext/>
              <w:keepLines/>
              <w:spacing w:after="0" w:line="190" w:lineRule="exact"/>
              <w:ind w:firstLine="0"/>
              <w:jc w:val="center"/>
            </w:pPr>
            <w:r>
              <w:rPr>
                <w:color w:val="FF0000"/>
                <w:sz w:val="16"/>
                <w:szCs w:val="16"/>
              </w:rPr>
              <w:t>12/12</w:t>
            </w:r>
          </w:p>
        </w:tc>
        <w:tc>
          <w:tcPr>
            <w:tcW w:w="1973" w:type="dxa"/>
            <w:vAlign w:val="center"/>
          </w:tcPr>
          <w:p w14:paraId="144C5618" w14:textId="77777777" w:rsidR="004E076F" w:rsidRDefault="00E30610">
            <w:pPr>
              <w:keepNext/>
              <w:keepLines/>
              <w:spacing w:after="0" w:line="190" w:lineRule="exact"/>
              <w:ind w:firstLine="0"/>
              <w:jc w:val="center"/>
            </w:pPr>
            <w:r>
              <w:rPr>
                <w:color w:val="FF0000"/>
                <w:sz w:val="16"/>
                <w:szCs w:val="16"/>
              </w:rPr>
              <w:t>12/12</w:t>
            </w:r>
          </w:p>
        </w:tc>
      </w:tr>
      <w:tr w:rsidR="004E076F" w14:paraId="71A25D7F" w14:textId="77777777">
        <w:trPr>
          <w:cantSplit/>
          <w:jc w:val="center"/>
        </w:trPr>
        <w:tc>
          <w:tcPr>
            <w:tcW w:w="2200" w:type="dxa"/>
            <w:tcBorders>
              <w:bottom w:val="single" w:sz="4" w:space="0" w:color="000000"/>
            </w:tcBorders>
            <w:vAlign w:val="center"/>
          </w:tcPr>
          <w:p w14:paraId="54A94450" w14:textId="77777777" w:rsidR="004E076F" w:rsidRDefault="00E30610">
            <w:pPr>
              <w:keepNext/>
              <w:keepLines/>
              <w:spacing w:after="0" w:line="190" w:lineRule="exact"/>
              <w:ind w:firstLine="0"/>
              <w:jc w:val="left"/>
            </w:pPr>
            <w:r>
              <w:rPr>
                <w:color w:val="FF0000"/>
                <w:sz w:val="16"/>
                <w:szCs w:val="16"/>
              </w:rPr>
              <w:t>Full confirmation</w:t>
            </w:r>
          </w:p>
        </w:tc>
        <w:tc>
          <w:tcPr>
            <w:tcW w:w="1973" w:type="dxa"/>
            <w:tcBorders>
              <w:bottom w:val="single" w:sz="4" w:space="0" w:color="000000"/>
            </w:tcBorders>
            <w:vAlign w:val="center"/>
          </w:tcPr>
          <w:p w14:paraId="7CAE91A4" w14:textId="77777777" w:rsidR="004E076F" w:rsidRDefault="00E30610">
            <w:pPr>
              <w:keepNext/>
              <w:keepLines/>
              <w:spacing w:after="0" w:line="190" w:lineRule="exact"/>
              <w:ind w:firstLine="0"/>
              <w:jc w:val="center"/>
            </w:pPr>
            <w:r>
              <w:rPr>
                <w:color w:val="FF0000"/>
                <w:sz w:val="16"/>
                <w:szCs w:val="16"/>
              </w:rPr>
              <w:t>12/12</w:t>
            </w:r>
          </w:p>
        </w:tc>
        <w:tc>
          <w:tcPr>
            <w:tcW w:w="1973" w:type="dxa"/>
            <w:tcBorders>
              <w:bottom w:val="single" w:sz="4" w:space="0" w:color="000000"/>
            </w:tcBorders>
            <w:vAlign w:val="center"/>
          </w:tcPr>
          <w:p w14:paraId="501645F3" w14:textId="77777777" w:rsidR="004E076F" w:rsidRDefault="00E30610">
            <w:pPr>
              <w:keepNext/>
              <w:keepLines/>
              <w:spacing w:after="0" w:line="190" w:lineRule="exact"/>
              <w:ind w:firstLine="0"/>
              <w:jc w:val="center"/>
            </w:pPr>
            <w:r>
              <w:rPr>
                <w:color w:val="FF0000"/>
                <w:sz w:val="16"/>
                <w:szCs w:val="16"/>
              </w:rPr>
              <w:t>12/12</w:t>
            </w:r>
          </w:p>
        </w:tc>
        <w:tc>
          <w:tcPr>
            <w:tcW w:w="1973" w:type="dxa"/>
            <w:tcBorders>
              <w:bottom w:val="single" w:sz="4" w:space="0" w:color="000000"/>
            </w:tcBorders>
            <w:vAlign w:val="center"/>
          </w:tcPr>
          <w:p w14:paraId="01866169" w14:textId="77777777" w:rsidR="004E076F" w:rsidRDefault="00E30610">
            <w:pPr>
              <w:keepNext/>
              <w:keepLines/>
              <w:spacing w:after="0" w:line="190" w:lineRule="exact"/>
              <w:ind w:firstLine="0"/>
              <w:jc w:val="center"/>
            </w:pPr>
            <w:r>
              <w:rPr>
                <w:color w:val="FF0000"/>
                <w:sz w:val="16"/>
                <w:szCs w:val="16"/>
              </w:rPr>
              <w:t>12/12</w:t>
            </w:r>
          </w:p>
        </w:tc>
        <w:tc>
          <w:tcPr>
            <w:tcW w:w="1973" w:type="dxa"/>
            <w:tcBorders>
              <w:bottom w:val="single" w:sz="4" w:space="0" w:color="000000"/>
            </w:tcBorders>
            <w:vAlign w:val="center"/>
          </w:tcPr>
          <w:p w14:paraId="1B539C5D" w14:textId="77777777" w:rsidR="004E076F" w:rsidRDefault="00E30610">
            <w:pPr>
              <w:keepNext/>
              <w:keepLines/>
              <w:spacing w:after="0" w:line="190" w:lineRule="exact"/>
              <w:ind w:firstLine="0"/>
              <w:jc w:val="center"/>
            </w:pPr>
            <w:r>
              <w:rPr>
                <w:color w:val="FF0000"/>
                <w:sz w:val="16"/>
                <w:szCs w:val="16"/>
              </w:rPr>
              <w:t>12/12</w:t>
            </w:r>
          </w:p>
        </w:tc>
      </w:tr>
      <w:tr w:rsidR="004E076F" w14:paraId="2EC212E5" w14:textId="77777777">
        <w:trPr>
          <w:cantSplit/>
          <w:jc w:val="center"/>
        </w:trPr>
        <w:tc>
          <w:tcPr>
            <w:tcW w:w="10092" w:type="dxa"/>
            <w:gridSpan w:val="5"/>
          </w:tcPr>
          <w:p w14:paraId="7CE9C1F0" w14:textId="0DA2F0D6" w:rsidR="004E076F" w:rsidRDefault="00E30610">
            <w:pPr>
              <w:keepLines/>
              <w:spacing w:before="60" w:after="20" w:line="190" w:lineRule="exact"/>
              <w:ind w:firstLine="0"/>
              <w:jc w:val="left"/>
            </w:pPr>
            <w:r>
              <w:rPr>
                <w:color w:val="FF0000"/>
                <w:sz w:val="16"/>
                <w:szCs w:val="16"/>
              </w:rPr>
              <w:t>Scores: median [Q1, Q3]; n = assessed runs for that score. All scores range from 0 to 4. Q1 and Q3 are the first and third quartiles. Component n may differ; the composite requires complete component evidence and manual</w:t>
            </w:r>
            <w:r>
              <w:rPr>
                <w:color w:val="FF0000"/>
                <w:sz w:val="16"/>
                <w:szCs w:val="16"/>
              </w:rPr>
              <w:t xml:space="preserve"> assessment. First choice: top-ranked initial model choices / assessable eligible decisions. Full confirmation: independently confirmed runs / assessable compatible runs. AKG denotes the AKG-guided condition.</w:t>
            </w:r>
          </w:p>
        </w:tc>
      </w:tr>
    </w:tbl>
    <w:p w14:paraId="2243FDA5" w14:textId="6B44F9F4" w:rsidR="00F61298" w:rsidRDefault="004822B7" w:rsidP="00463C60">
      <w:pPr>
        <w:spacing w:line="228" w:lineRule="auto"/>
        <w:ind w:firstLine="289"/>
      </w:pPr>
      <w:r>
        <w:rPr>
          <w:color w:val="FF0000"/>
        </w:rPr>
        <w:t>Each composite is calculated per run using Equation (1), then summarized within its model-condition group. It is not calculated from the displayed component medians. Eligible runs receive equal weight within each summary; quartiles use linear interpolation. Composite calculations retain full precision before rounding to four decimal places. Missing components remain unavailable without substitution or reweighting.</w:t>
      </w:r>
    </w:p>
    <w:p w14:paraId="256670F2" w14:textId="77777777" w:rsidR="00F61298" w:rsidRDefault="004822B7">
      <w:pPr>
        <w:spacing w:line="228" w:lineRule="auto"/>
        <w:ind w:firstLine="289"/>
      </w:pPr>
      <w:r>
        <w:rPr>
          <w:color w:val="FF0000"/>
        </w:rPr>
        <w:t>Scenario comparisons retain model identity, compatible fixtures and protocols, and metric-specific eligibility. Missing scenarios and differences in assessment coverage remain explicit. Adaptation is [72 successful method changes / 72 eligible post-failure model decisions]; within-method changes, forced choices, routing, and deterministic fallback are excluded from model adaptation. Unequal method frequencies do not establish a controlled ranking of the nine methods.</w:t>
      </w:r>
    </w:p>
    <w:p w14:paraId="6607AAC2" w14:textId="77777777" w:rsidR="00F61298" w:rsidRDefault="004822B7">
      <w:pPr>
        <w:spacing w:line="228" w:lineRule="auto"/>
        <w:ind w:firstLine="289"/>
      </w:pPr>
      <w:r>
        <w:rPr>
          <w:color w:val="FF0000"/>
        </w:rPr>
        <w:t>Method selection, first-choice accuracy, and full confirmation are interpreted together. Better-ranked choices alone do not establish better verified outcomes. The composite summarizes overall framework performance; its exploit, chain, and output components help explain differences, but a higher composite alone does not establish more confirmed exploitation. Comparisons account for unequal evidence eligibility, candidate sources, fallback dependence, and scenario coverage. With three repetitions, individual failures and missing controls can materially affect denominators.</w:t>
      </w:r>
    </w:p>
    <w:p w14:paraId="4F2ED32E" w14:textId="0F9C9756" w:rsidR="00F61298" w:rsidRPr="004822B7" w:rsidRDefault="00A8602F">
      <w:pPr>
        <w:pStyle w:val="Heading2"/>
        <w:rPr>
          <w:color w:val="auto"/>
        </w:rPr>
      </w:pPr>
      <w:r w:rsidRPr="004822B7">
        <w:rPr>
          <w:color w:val="auto"/>
        </w:rPr>
        <w:t>B</w:t>
      </w:r>
      <w:r w:rsidR="004822B7" w:rsidRPr="004822B7">
        <w:rPr>
          <w:color w:val="auto"/>
        </w:rPr>
        <w:t>. Payload Provenance and Operational Reliability</w:t>
      </w:r>
    </w:p>
    <w:p w14:paraId="52686B78" w14:textId="77777777" w:rsidR="00F61298" w:rsidRDefault="004822B7">
      <w:pPr>
        <w:spacing w:line="228" w:lineRule="auto"/>
        <w:ind w:firstLine="289"/>
      </w:pPr>
      <w:r>
        <w:rPr>
          <w:color w:val="FF0000"/>
        </w:rPr>
        <w:t>Table IV separates candidate validity, candidate-level effectiveness, confirmed-candidate provenance, and fallback dependence within each model-condition group. Candidate counts use unique identities; retries add no independent candidates. A confirmed hybrid run alone cannot identify which candidate source produced its result.</w:t>
      </w:r>
    </w:p>
    <w:p w14:paraId="0AEFB9AE" w14:textId="77777777" w:rsidR="00F61298" w:rsidRDefault="004822B7">
      <w:pPr>
        <w:pStyle w:val="tablehead"/>
        <w:keepNext/>
      </w:pPr>
      <w:r>
        <w:rPr>
          <w:color w:val="FF0000"/>
        </w:rPr>
        <w:t>TABLE IV. CANDIDATE PROVENANCE AND FALLBACK</w:t>
      </w:r>
    </w:p>
    <w:tbl>
      <w:tblPr>
        <w:tblW w:w="4866" w:type="dxa"/>
        <w:jc w:val="center"/>
        <w:tblBorders>
          <w:top w:val="single" w:sz="4" w:space="0" w:color="000000"/>
          <w:left w:val="nil"/>
          <w:bottom w:val="single" w:sz="4" w:space="0" w:color="000000"/>
          <w:right w:val="nil"/>
          <w:insideH w:val="nil"/>
          <w:insideV w:val="nil"/>
        </w:tblBorders>
        <w:tblLayout w:type="fixed"/>
        <w:tblCellMar>
          <w:top w:w="55" w:type="dxa"/>
          <w:left w:w="45" w:type="dxa"/>
          <w:bottom w:w="55" w:type="dxa"/>
          <w:right w:w="45" w:type="dxa"/>
        </w:tblCellMar>
        <w:tblLook w:val="04A0" w:firstRow="1" w:lastRow="0" w:firstColumn="1" w:lastColumn="0" w:noHBand="0" w:noVBand="1"/>
      </w:tblPr>
      <w:tblGrid>
        <w:gridCol w:w="1570"/>
        <w:gridCol w:w="824"/>
        <w:gridCol w:w="824"/>
        <w:gridCol w:w="824"/>
        <w:gridCol w:w="824"/>
      </w:tblGrid>
      <w:tr w:rsidR="00F61298" w14:paraId="592D61E5" w14:textId="77777777">
        <w:trPr>
          <w:cantSplit/>
          <w:tblHeader/>
          <w:jc w:val="center"/>
        </w:trPr>
        <w:tc>
          <w:tcPr>
            <w:tcW w:w="1570" w:type="dxa"/>
            <w:tcBorders>
              <w:bottom w:val="single" w:sz="4" w:space="0" w:color="000000"/>
            </w:tcBorders>
          </w:tcPr>
          <w:p w14:paraId="29B30EF2" w14:textId="77777777" w:rsidR="00F61298" w:rsidRDefault="004822B7">
            <w:pPr>
              <w:keepNext/>
              <w:keepLines/>
              <w:spacing w:after="0" w:line="192" w:lineRule="auto"/>
              <w:ind w:firstLine="0"/>
              <w:jc w:val="left"/>
            </w:pPr>
            <w:r>
              <w:rPr>
                <w:b/>
                <w:color w:val="FF0000"/>
                <w:sz w:val="16"/>
                <w:szCs w:val="16"/>
              </w:rPr>
              <w:t>Measure</w:t>
            </w:r>
          </w:p>
        </w:tc>
        <w:tc>
          <w:tcPr>
            <w:tcW w:w="824" w:type="dxa"/>
            <w:tcBorders>
              <w:bottom w:val="single" w:sz="4" w:space="0" w:color="000000"/>
            </w:tcBorders>
          </w:tcPr>
          <w:p w14:paraId="55511F5F" w14:textId="77777777" w:rsidR="00F61298" w:rsidRDefault="004822B7">
            <w:pPr>
              <w:keepNext/>
              <w:keepLines/>
              <w:spacing w:after="0" w:line="192" w:lineRule="auto"/>
              <w:ind w:firstLine="0"/>
              <w:jc w:val="center"/>
            </w:pPr>
            <w:r>
              <w:rPr>
                <w:b/>
                <w:color w:val="FF0000"/>
                <w:sz w:val="16"/>
                <w:szCs w:val="16"/>
              </w:rPr>
              <w:t>DeepSeek</w:t>
            </w:r>
            <w:r>
              <w:rPr>
                <w:b/>
                <w:sz w:val="16"/>
                <w:szCs w:val="16"/>
              </w:rPr>
              <w:br/>
            </w:r>
            <w:r>
              <w:rPr>
                <w:b/>
                <w:color w:val="FF0000"/>
                <w:sz w:val="16"/>
                <w:szCs w:val="16"/>
              </w:rPr>
              <w:t>Linear</w:t>
            </w:r>
          </w:p>
        </w:tc>
        <w:tc>
          <w:tcPr>
            <w:tcW w:w="824" w:type="dxa"/>
            <w:tcBorders>
              <w:bottom w:val="single" w:sz="4" w:space="0" w:color="000000"/>
            </w:tcBorders>
          </w:tcPr>
          <w:p w14:paraId="242D67F7" w14:textId="77777777" w:rsidR="00F61298" w:rsidRDefault="004822B7">
            <w:pPr>
              <w:keepNext/>
              <w:keepLines/>
              <w:spacing w:after="0" w:line="192" w:lineRule="auto"/>
              <w:ind w:firstLine="0"/>
              <w:jc w:val="center"/>
            </w:pPr>
            <w:r>
              <w:rPr>
                <w:b/>
                <w:color w:val="FF0000"/>
                <w:sz w:val="16"/>
                <w:szCs w:val="16"/>
              </w:rPr>
              <w:t>DeepSeek</w:t>
            </w:r>
            <w:r>
              <w:rPr>
                <w:b/>
                <w:sz w:val="16"/>
                <w:szCs w:val="16"/>
              </w:rPr>
              <w:br/>
            </w:r>
            <w:r>
              <w:rPr>
                <w:b/>
                <w:color w:val="FF0000"/>
                <w:sz w:val="16"/>
                <w:szCs w:val="16"/>
              </w:rPr>
              <w:t>AKG</w:t>
            </w:r>
          </w:p>
        </w:tc>
        <w:tc>
          <w:tcPr>
            <w:tcW w:w="824" w:type="dxa"/>
            <w:tcBorders>
              <w:bottom w:val="single" w:sz="4" w:space="0" w:color="000000"/>
            </w:tcBorders>
          </w:tcPr>
          <w:p w14:paraId="7CFA2A25" w14:textId="77777777" w:rsidR="00F61298" w:rsidRDefault="004822B7">
            <w:pPr>
              <w:keepNext/>
              <w:keepLines/>
              <w:spacing w:after="0" w:line="192" w:lineRule="auto"/>
              <w:ind w:firstLine="0"/>
              <w:jc w:val="center"/>
            </w:pPr>
            <w:r>
              <w:rPr>
                <w:b/>
                <w:color w:val="FF0000"/>
                <w:sz w:val="16"/>
                <w:szCs w:val="16"/>
              </w:rPr>
              <w:t>Luna</w:t>
            </w:r>
            <w:r>
              <w:rPr>
                <w:b/>
                <w:sz w:val="16"/>
                <w:szCs w:val="16"/>
              </w:rPr>
              <w:br/>
            </w:r>
            <w:r>
              <w:rPr>
                <w:b/>
                <w:color w:val="FF0000"/>
                <w:sz w:val="16"/>
                <w:szCs w:val="16"/>
              </w:rPr>
              <w:t>Linear</w:t>
            </w:r>
          </w:p>
        </w:tc>
        <w:tc>
          <w:tcPr>
            <w:tcW w:w="824" w:type="dxa"/>
            <w:tcBorders>
              <w:bottom w:val="single" w:sz="4" w:space="0" w:color="000000"/>
            </w:tcBorders>
          </w:tcPr>
          <w:p w14:paraId="242FCF38" w14:textId="77777777" w:rsidR="00F61298" w:rsidRDefault="004822B7">
            <w:pPr>
              <w:keepNext/>
              <w:keepLines/>
              <w:spacing w:after="0" w:line="192" w:lineRule="auto"/>
              <w:ind w:firstLine="0"/>
              <w:jc w:val="center"/>
            </w:pPr>
            <w:r>
              <w:rPr>
                <w:b/>
                <w:color w:val="FF0000"/>
                <w:sz w:val="16"/>
                <w:szCs w:val="16"/>
              </w:rPr>
              <w:t>Luna</w:t>
            </w:r>
            <w:r>
              <w:rPr>
                <w:b/>
                <w:sz w:val="16"/>
                <w:szCs w:val="16"/>
              </w:rPr>
              <w:br/>
            </w:r>
            <w:r>
              <w:rPr>
                <w:b/>
                <w:color w:val="FF0000"/>
                <w:sz w:val="16"/>
                <w:szCs w:val="16"/>
              </w:rPr>
              <w:t>AKG</w:t>
            </w:r>
          </w:p>
        </w:tc>
      </w:tr>
      <w:tr w:rsidR="00F61298" w14:paraId="7A1E0632" w14:textId="77777777">
        <w:trPr>
          <w:cantSplit/>
          <w:jc w:val="center"/>
        </w:trPr>
        <w:tc>
          <w:tcPr>
            <w:tcW w:w="1570" w:type="dxa"/>
          </w:tcPr>
          <w:p w14:paraId="3D118421" w14:textId="77777777" w:rsidR="00F61298" w:rsidRDefault="004822B7">
            <w:pPr>
              <w:keepNext/>
              <w:keepLines/>
              <w:spacing w:after="0" w:line="192" w:lineRule="auto"/>
              <w:ind w:firstLine="0"/>
              <w:jc w:val="left"/>
            </w:pPr>
            <w:r>
              <w:rPr>
                <w:color w:val="FF0000"/>
                <w:sz w:val="16"/>
                <w:szCs w:val="16"/>
              </w:rPr>
              <w:t>Model variants:</w:t>
            </w:r>
            <w:r>
              <w:rPr>
                <w:sz w:val="16"/>
                <w:szCs w:val="16"/>
              </w:rPr>
              <w:br/>
            </w:r>
            <w:r>
              <w:rPr>
                <w:color w:val="FF0000"/>
                <w:sz w:val="16"/>
                <w:szCs w:val="16"/>
              </w:rPr>
              <w:t>valid / assessed</w:t>
            </w:r>
          </w:p>
        </w:tc>
        <w:tc>
          <w:tcPr>
            <w:tcW w:w="824" w:type="dxa"/>
          </w:tcPr>
          <w:p w14:paraId="6406BC14" w14:textId="77777777" w:rsidR="00F61298" w:rsidRDefault="004822B7">
            <w:pPr>
              <w:keepNext/>
              <w:keepLines/>
              <w:spacing w:after="0" w:line="192" w:lineRule="auto"/>
              <w:ind w:firstLine="0"/>
              <w:jc w:val="center"/>
            </w:pPr>
            <w:r>
              <w:rPr>
                <w:color w:val="FF0000"/>
                <w:sz w:val="16"/>
                <w:szCs w:val="16"/>
              </w:rPr>
              <w:t>30/30</w:t>
            </w:r>
          </w:p>
        </w:tc>
        <w:tc>
          <w:tcPr>
            <w:tcW w:w="824" w:type="dxa"/>
          </w:tcPr>
          <w:p w14:paraId="716A4027" w14:textId="77777777" w:rsidR="00F61298" w:rsidRDefault="004822B7">
            <w:pPr>
              <w:keepNext/>
              <w:keepLines/>
              <w:spacing w:after="0" w:line="192" w:lineRule="auto"/>
              <w:ind w:firstLine="0"/>
              <w:jc w:val="center"/>
            </w:pPr>
            <w:r>
              <w:rPr>
                <w:color w:val="FF0000"/>
                <w:sz w:val="16"/>
                <w:szCs w:val="16"/>
              </w:rPr>
              <w:t>29/29</w:t>
            </w:r>
          </w:p>
        </w:tc>
        <w:tc>
          <w:tcPr>
            <w:tcW w:w="824" w:type="dxa"/>
          </w:tcPr>
          <w:p w14:paraId="142BFFCC" w14:textId="77777777" w:rsidR="00F61298" w:rsidRDefault="004822B7">
            <w:pPr>
              <w:keepNext/>
              <w:keepLines/>
              <w:spacing w:after="0" w:line="192" w:lineRule="auto"/>
              <w:ind w:firstLine="0"/>
              <w:jc w:val="center"/>
            </w:pPr>
            <w:r>
              <w:rPr>
                <w:color w:val="FF0000"/>
                <w:sz w:val="16"/>
                <w:szCs w:val="16"/>
              </w:rPr>
              <w:t>25/30</w:t>
            </w:r>
          </w:p>
        </w:tc>
        <w:tc>
          <w:tcPr>
            <w:tcW w:w="824" w:type="dxa"/>
          </w:tcPr>
          <w:p w14:paraId="7700F0AD" w14:textId="77777777" w:rsidR="00F61298" w:rsidRDefault="004822B7">
            <w:pPr>
              <w:keepNext/>
              <w:keepLines/>
              <w:spacing w:after="0" w:line="192" w:lineRule="auto"/>
              <w:ind w:firstLine="0"/>
              <w:jc w:val="center"/>
            </w:pPr>
            <w:r>
              <w:rPr>
                <w:color w:val="FF0000"/>
                <w:sz w:val="16"/>
                <w:szCs w:val="16"/>
              </w:rPr>
              <w:t>27/30</w:t>
            </w:r>
          </w:p>
        </w:tc>
      </w:tr>
      <w:tr w:rsidR="00F61298" w14:paraId="696696AE" w14:textId="77777777">
        <w:trPr>
          <w:cantSplit/>
          <w:jc w:val="center"/>
        </w:trPr>
        <w:tc>
          <w:tcPr>
            <w:tcW w:w="1570" w:type="dxa"/>
          </w:tcPr>
          <w:p w14:paraId="6CE094FD" w14:textId="77777777" w:rsidR="00F61298" w:rsidRDefault="004822B7">
            <w:pPr>
              <w:keepNext/>
              <w:keepLines/>
              <w:spacing w:after="0" w:line="192" w:lineRule="auto"/>
              <w:ind w:firstLine="0"/>
              <w:jc w:val="left"/>
            </w:pPr>
            <w:r>
              <w:rPr>
                <w:color w:val="FF0000"/>
                <w:sz w:val="16"/>
                <w:szCs w:val="16"/>
              </w:rPr>
              <w:t>Confirmed candidates:</w:t>
            </w:r>
            <w:r>
              <w:rPr>
                <w:sz w:val="16"/>
                <w:szCs w:val="16"/>
              </w:rPr>
              <w:br/>
            </w:r>
            <w:r>
              <w:rPr>
                <w:color w:val="FF0000"/>
                <w:sz w:val="16"/>
                <w:szCs w:val="16"/>
              </w:rPr>
              <w:t>S / V / U</w:t>
            </w:r>
          </w:p>
        </w:tc>
        <w:tc>
          <w:tcPr>
            <w:tcW w:w="824" w:type="dxa"/>
          </w:tcPr>
          <w:p w14:paraId="7EC08C3E" w14:textId="77777777" w:rsidR="00F61298" w:rsidRDefault="004822B7">
            <w:pPr>
              <w:keepNext/>
              <w:keepLines/>
              <w:spacing w:after="0" w:line="192" w:lineRule="auto"/>
              <w:ind w:firstLine="0"/>
              <w:jc w:val="center"/>
            </w:pPr>
            <w:r>
              <w:rPr>
                <w:color w:val="FF0000"/>
                <w:sz w:val="16"/>
                <w:szCs w:val="16"/>
              </w:rPr>
              <w:t>30/0/0</w:t>
            </w:r>
          </w:p>
        </w:tc>
        <w:tc>
          <w:tcPr>
            <w:tcW w:w="824" w:type="dxa"/>
          </w:tcPr>
          <w:p w14:paraId="3BD11ABD" w14:textId="77777777" w:rsidR="00F61298" w:rsidRDefault="004822B7">
            <w:pPr>
              <w:keepNext/>
              <w:keepLines/>
              <w:spacing w:after="0" w:line="192" w:lineRule="auto"/>
              <w:ind w:firstLine="0"/>
              <w:jc w:val="center"/>
            </w:pPr>
            <w:r>
              <w:rPr>
                <w:color w:val="FF0000"/>
                <w:sz w:val="16"/>
                <w:szCs w:val="16"/>
              </w:rPr>
              <w:t>29/0/0</w:t>
            </w:r>
          </w:p>
        </w:tc>
        <w:tc>
          <w:tcPr>
            <w:tcW w:w="824" w:type="dxa"/>
          </w:tcPr>
          <w:p w14:paraId="5FFB9402" w14:textId="77777777" w:rsidR="00F61298" w:rsidRDefault="004822B7">
            <w:pPr>
              <w:keepNext/>
              <w:keepLines/>
              <w:spacing w:after="0" w:line="192" w:lineRule="auto"/>
              <w:ind w:firstLine="0"/>
              <w:jc w:val="center"/>
            </w:pPr>
            <w:r>
              <w:rPr>
                <w:color w:val="FF0000"/>
                <w:sz w:val="16"/>
                <w:szCs w:val="16"/>
              </w:rPr>
              <w:t>30/0/0</w:t>
            </w:r>
          </w:p>
        </w:tc>
        <w:tc>
          <w:tcPr>
            <w:tcW w:w="824" w:type="dxa"/>
          </w:tcPr>
          <w:p w14:paraId="5169F847" w14:textId="77777777" w:rsidR="00F61298" w:rsidRDefault="004822B7">
            <w:pPr>
              <w:keepNext/>
              <w:keepLines/>
              <w:spacing w:after="0" w:line="192" w:lineRule="auto"/>
              <w:ind w:firstLine="0"/>
              <w:jc w:val="center"/>
            </w:pPr>
            <w:r>
              <w:rPr>
                <w:color w:val="FF0000"/>
                <w:sz w:val="16"/>
                <w:szCs w:val="16"/>
              </w:rPr>
              <w:t>30/0/0</w:t>
            </w:r>
          </w:p>
        </w:tc>
      </w:tr>
      <w:tr w:rsidR="00F61298" w14:paraId="60B7C73A" w14:textId="77777777">
        <w:trPr>
          <w:cantSplit/>
          <w:jc w:val="center"/>
        </w:trPr>
        <w:tc>
          <w:tcPr>
            <w:tcW w:w="1570" w:type="dxa"/>
          </w:tcPr>
          <w:p w14:paraId="1FAF77B7" w14:textId="77777777" w:rsidR="00F61298" w:rsidRDefault="004822B7">
            <w:pPr>
              <w:keepNext/>
              <w:keepLines/>
              <w:spacing w:after="0" w:line="192" w:lineRule="auto"/>
              <w:ind w:firstLine="0"/>
              <w:jc w:val="left"/>
            </w:pPr>
            <w:r>
              <w:rPr>
                <w:color w:val="FF0000"/>
                <w:sz w:val="16"/>
                <w:szCs w:val="16"/>
              </w:rPr>
              <w:t>Candidate success:</w:t>
            </w:r>
            <w:r>
              <w:rPr>
                <w:sz w:val="16"/>
                <w:szCs w:val="16"/>
              </w:rPr>
              <w:br/>
            </w:r>
            <w:r>
              <w:rPr>
                <w:color w:val="FF0000"/>
                <w:sz w:val="16"/>
                <w:szCs w:val="16"/>
              </w:rPr>
              <w:t>confirmed / eligible</w:t>
            </w:r>
          </w:p>
        </w:tc>
        <w:tc>
          <w:tcPr>
            <w:tcW w:w="824" w:type="dxa"/>
          </w:tcPr>
          <w:p w14:paraId="29906D8A" w14:textId="77777777" w:rsidR="00F61298" w:rsidRDefault="004822B7">
            <w:pPr>
              <w:keepNext/>
              <w:keepLines/>
              <w:spacing w:after="0" w:line="192" w:lineRule="auto"/>
              <w:ind w:firstLine="0"/>
              <w:jc w:val="center"/>
            </w:pPr>
            <w:r>
              <w:rPr>
                <w:color w:val="FF0000"/>
                <w:sz w:val="16"/>
                <w:szCs w:val="16"/>
              </w:rPr>
              <w:t>30/48</w:t>
            </w:r>
          </w:p>
        </w:tc>
        <w:tc>
          <w:tcPr>
            <w:tcW w:w="824" w:type="dxa"/>
          </w:tcPr>
          <w:p w14:paraId="24C71A9B" w14:textId="77777777" w:rsidR="00F61298" w:rsidRDefault="004822B7">
            <w:pPr>
              <w:keepNext/>
              <w:keepLines/>
              <w:spacing w:after="0" w:line="192" w:lineRule="auto"/>
              <w:ind w:firstLine="0"/>
              <w:jc w:val="center"/>
            </w:pPr>
            <w:r>
              <w:rPr>
                <w:color w:val="FF0000"/>
                <w:sz w:val="16"/>
                <w:szCs w:val="16"/>
              </w:rPr>
              <w:t>29/48</w:t>
            </w:r>
          </w:p>
        </w:tc>
        <w:tc>
          <w:tcPr>
            <w:tcW w:w="824" w:type="dxa"/>
          </w:tcPr>
          <w:p w14:paraId="05546D20" w14:textId="77777777" w:rsidR="00F61298" w:rsidRDefault="004822B7">
            <w:pPr>
              <w:keepNext/>
              <w:keepLines/>
              <w:spacing w:after="0" w:line="192" w:lineRule="auto"/>
              <w:ind w:firstLine="0"/>
              <w:jc w:val="center"/>
            </w:pPr>
            <w:r>
              <w:rPr>
                <w:color w:val="FF0000"/>
                <w:sz w:val="16"/>
                <w:szCs w:val="16"/>
              </w:rPr>
              <w:t>30/48</w:t>
            </w:r>
          </w:p>
        </w:tc>
        <w:tc>
          <w:tcPr>
            <w:tcW w:w="824" w:type="dxa"/>
          </w:tcPr>
          <w:p w14:paraId="12EB1CAD" w14:textId="77777777" w:rsidR="00F61298" w:rsidRDefault="004822B7">
            <w:pPr>
              <w:keepNext/>
              <w:keepLines/>
              <w:spacing w:after="0" w:line="192" w:lineRule="auto"/>
              <w:ind w:firstLine="0"/>
              <w:jc w:val="center"/>
            </w:pPr>
            <w:r>
              <w:rPr>
                <w:color w:val="FF0000"/>
                <w:sz w:val="16"/>
                <w:szCs w:val="16"/>
              </w:rPr>
              <w:t>30/48</w:t>
            </w:r>
          </w:p>
        </w:tc>
      </w:tr>
      <w:tr w:rsidR="00F61298" w14:paraId="0D6561DA" w14:textId="77777777">
        <w:trPr>
          <w:cantSplit/>
          <w:jc w:val="center"/>
        </w:trPr>
        <w:tc>
          <w:tcPr>
            <w:tcW w:w="1570" w:type="dxa"/>
          </w:tcPr>
          <w:p w14:paraId="0562E69F" w14:textId="77777777" w:rsidR="00F61298" w:rsidRDefault="004822B7">
            <w:pPr>
              <w:keepLines/>
              <w:spacing w:after="0" w:line="192" w:lineRule="auto"/>
              <w:ind w:firstLine="0"/>
              <w:jc w:val="left"/>
            </w:pPr>
            <w:r>
              <w:rPr>
                <w:color w:val="FF0000"/>
                <w:sz w:val="16"/>
                <w:szCs w:val="16"/>
              </w:rPr>
              <w:t>Fallback:</w:t>
            </w:r>
            <w:r>
              <w:rPr>
                <w:sz w:val="16"/>
                <w:szCs w:val="16"/>
              </w:rPr>
              <w:br/>
            </w:r>
            <w:r>
              <w:rPr>
                <w:color w:val="FF0000"/>
                <w:sz w:val="16"/>
                <w:szCs w:val="16"/>
              </w:rPr>
              <w:t>used / opportunities</w:t>
            </w:r>
          </w:p>
        </w:tc>
        <w:tc>
          <w:tcPr>
            <w:tcW w:w="824" w:type="dxa"/>
          </w:tcPr>
          <w:p w14:paraId="3E36207A" w14:textId="77777777" w:rsidR="00F61298" w:rsidRDefault="004822B7">
            <w:pPr>
              <w:keepLines/>
              <w:spacing w:after="0" w:line="192" w:lineRule="auto"/>
              <w:ind w:firstLine="0"/>
              <w:jc w:val="center"/>
            </w:pPr>
            <w:r>
              <w:rPr>
                <w:color w:val="FF0000"/>
                <w:sz w:val="16"/>
                <w:szCs w:val="16"/>
              </w:rPr>
              <w:t>0/30</w:t>
            </w:r>
          </w:p>
        </w:tc>
        <w:tc>
          <w:tcPr>
            <w:tcW w:w="824" w:type="dxa"/>
          </w:tcPr>
          <w:p w14:paraId="3D88C36F" w14:textId="77777777" w:rsidR="00F61298" w:rsidRDefault="004822B7">
            <w:pPr>
              <w:keepLines/>
              <w:spacing w:after="0" w:line="192" w:lineRule="auto"/>
              <w:ind w:firstLine="0"/>
              <w:jc w:val="center"/>
            </w:pPr>
            <w:r>
              <w:rPr>
                <w:color w:val="FF0000"/>
                <w:sz w:val="16"/>
                <w:szCs w:val="16"/>
              </w:rPr>
              <w:t>1/30</w:t>
            </w:r>
          </w:p>
        </w:tc>
        <w:tc>
          <w:tcPr>
            <w:tcW w:w="824" w:type="dxa"/>
          </w:tcPr>
          <w:p w14:paraId="42BE4E5E" w14:textId="77777777" w:rsidR="00F61298" w:rsidRDefault="004822B7">
            <w:pPr>
              <w:keepLines/>
              <w:spacing w:after="0" w:line="192" w:lineRule="auto"/>
              <w:ind w:firstLine="0"/>
              <w:jc w:val="center"/>
            </w:pPr>
            <w:r>
              <w:rPr>
                <w:color w:val="FF0000"/>
                <w:sz w:val="16"/>
                <w:szCs w:val="16"/>
              </w:rPr>
              <w:t>5/30</w:t>
            </w:r>
          </w:p>
        </w:tc>
        <w:tc>
          <w:tcPr>
            <w:tcW w:w="824" w:type="dxa"/>
          </w:tcPr>
          <w:p w14:paraId="19D14C36" w14:textId="77777777" w:rsidR="00F61298" w:rsidRDefault="004822B7">
            <w:pPr>
              <w:keepLines/>
              <w:spacing w:after="0" w:line="192" w:lineRule="auto"/>
              <w:ind w:firstLine="0"/>
              <w:jc w:val="center"/>
            </w:pPr>
            <w:r>
              <w:rPr>
                <w:color w:val="FF0000"/>
                <w:sz w:val="16"/>
                <w:szCs w:val="16"/>
              </w:rPr>
              <w:t>3/30</w:t>
            </w:r>
          </w:p>
        </w:tc>
      </w:tr>
    </w:tbl>
    <w:p w14:paraId="05679E73" w14:textId="77777777" w:rsidR="00F61298" w:rsidRDefault="004822B7">
      <w:pPr>
        <w:spacing w:before="60" w:after="60" w:line="228" w:lineRule="auto"/>
        <w:ind w:firstLine="0"/>
      </w:pPr>
      <w:r>
        <w:rPr>
          <w:color w:val="FF0000"/>
          <w:sz w:val="16"/>
          <w:szCs w:val="16"/>
        </w:rPr>
        <w:t>S = supplied seed, V = model variant, U = unresolved attribution, including inseparable mixed provenance. The provenance row contains three separate counts, not a rate. Each confirmed candidate enters one supported source category. Other rows contain numerator/eligible denominator.</w:t>
      </w:r>
    </w:p>
    <w:p w14:paraId="7336425E" w14:textId="77777777" w:rsidR="00F61298" w:rsidRDefault="004822B7">
      <w:pPr>
        <w:spacing w:line="228" w:lineRule="auto"/>
        <w:ind w:firstLine="289"/>
      </w:pPr>
      <w:r>
        <w:rPr>
          <w:color w:val="FF0000"/>
        </w:rPr>
        <w:t>Validity uses validator-assessed model candidates. Candidate success uses distinct valid, executed exploit/bypass candidates, excluding probes and rejected or unexecuted candidates. Its denominator differs from run-level confirmation and final-method payload scoring. Fallback uses unique generation opportunities. Material output failures, refusals, repairs, and provider failures are reported with their applicable call counts. Optional token summaries require recorded coverage, including retries; absent telemetry remains unavailable.</w:t>
      </w:r>
    </w:p>
    <w:p w14:paraId="039D10E1" w14:textId="77777777" w:rsidR="00F61298" w:rsidRDefault="004822B7">
      <w:pPr>
        <w:spacing w:line="228" w:lineRule="auto"/>
        <w:ind w:firstLine="289"/>
      </w:pPr>
      <w:r>
        <w:rPr>
          <w:color w:val="FF0000"/>
        </w:rPr>
        <w:lastRenderedPageBreak/>
        <w:t>Failure attribution distinguishes readiness or fixture problems, provider transport failures, unusable outputs, candidate rejection, and incomplete verification. These events contextualize the output score without replacing its required-call assessment. Output repair remains separate from transport retry. Fallback-assisted confirmation retains its recorded candidate source and cannot automatically be attributed to model generation.</w:t>
      </w:r>
    </w:p>
    <w:p w14:paraId="3B9D3D9D" w14:textId="1B1FBD51" w:rsidR="00F61298" w:rsidRPr="004822B7" w:rsidRDefault="00A8602F">
      <w:pPr>
        <w:pStyle w:val="Heading2"/>
        <w:rPr>
          <w:color w:val="auto"/>
        </w:rPr>
      </w:pPr>
      <w:r w:rsidRPr="004822B7">
        <w:rPr>
          <w:color w:val="auto"/>
        </w:rPr>
        <w:t>C</w:t>
      </w:r>
      <w:r w:rsidR="004822B7" w:rsidRPr="004822B7">
        <w:rPr>
          <w:color w:val="auto"/>
        </w:rPr>
        <w:t>. Chaining, Containment, and Limitations</w:t>
      </w:r>
    </w:p>
    <w:p w14:paraId="1A517A84" w14:textId="77777777" w:rsidR="00F61298" w:rsidRDefault="004822B7">
      <w:pPr>
        <w:spacing w:line="228" w:lineRule="auto"/>
        <w:ind w:firstLine="289"/>
      </w:pPr>
      <w:r>
        <w:rPr>
          <w:color w:val="FF0000"/>
        </w:rPr>
        <w:t>Chaining coverage comprises [96 opportunities; 96 with satisfied prerequisites; 0 attempted transitions; 0 independently confirmed transitions]. These counts contextualize the chain score through linked source, use, and destination evidence. Missing permission or fresh-session controls restrict the applicable outcome; missing causal evidence restricts the chain claim. Unavailable chain evidence cannot be replaced with zero to calculate a composite.</w:t>
      </w:r>
    </w:p>
    <w:p w14:paraId="42D5E28F" w14:textId="77777777" w:rsidR="00F61298" w:rsidRDefault="004822B7">
      <w:pPr>
        <w:spacing w:line="228" w:lineRule="auto"/>
        <w:ind w:firstLine="289"/>
      </w:pPr>
      <w:r>
        <w:rPr>
          <w:color w:val="FF0000"/>
        </w:rPr>
        <w:t>Containment coverage comprises [540 detected events; 540 blocked actions; 0 actual violations; 7464 assessed requests/actions]. Provider refusals remain separate from execution-boundary controls. Zero observed violations, if established, would apply only to the assessed coverage and would not demonstrate universal safety.</w:t>
      </w:r>
    </w:p>
    <w:p w14:paraId="2261622A" w14:textId="16B57548" w:rsidR="00F61298" w:rsidRDefault="004822B7">
      <w:pPr>
        <w:spacing w:line="228" w:lineRule="auto"/>
        <w:ind w:firstLine="289"/>
      </w:pPr>
      <w:r>
        <w:rPr>
          <w:color w:val="FF0000"/>
        </w:rPr>
        <w:t xml:space="preserve">Interpretation is limited by DVWA, two models, three repetitions per coordinate, fixed agents and graph, bounded candidate budgets, and </w:t>
      </w:r>
      <w:r w:rsidR="00E30610">
        <w:rPr>
          <w:color w:val="FF0000"/>
        </w:rPr>
        <w:t>manual</w:t>
      </w:r>
      <w:r>
        <w:rPr>
          <w:color w:val="FF0000"/>
        </w:rPr>
        <w:t xml:space="preserve"> assessment. A single evaluator provides no inter-rater agreement estimate. Incomplete independent controls, unmatched fixtures, unassessable decisions, and provider failures constrain the comparison. Findings cannot establish generalization to other applications or model versions.</w:t>
      </w:r>
    </w:p>
    <w:p w14:paraId="0CFFB369" w14:textId="77777777" w:rsidR="00F61298" w:rsidRDefault="004822B7">
      <w:pPr>
        <w:pStyle w:val="Heading1"/>
        <w:jc w:val="center"/>
      </w:pPr>
      <w:r>
        <w:rPr>
          <w:color w:val="FF0000"/>
        </w:rPr>
        <w:t>V. Conclusion and Future Work</w:t>
      </w:r>
    </w:p>
    <w:p w14:paraId="489287EE" w14:textId="1F759963" w:rsidR="00F61298" w:rsidRDefault="004822B7">
      <w:pPr>
        <w:spacing w:line="228" w:lineRule="auto"/>
        <w:ind w:firstLine="289"/>
      </w:pPr>
      <w:r>
        <w:rPr>
          <w:color w:val="FF0000"/>
        </w:rPr>
        <w:t>This paper defines a controlled comparison of Linear and AKG-guided orchestration that connects method-selection quality with independently verified outcomes while preserving payload provenance. Of the 27 planned runs in each model-condition group, 12 were score-assessable: six SQL Injection and six Brute Force runs. All nine Access Control runs in each group failed readiness. First-choice accuracy and full confirmation were 12/12 in every group. DeepSeek’s median composite was 2.60 under both conditions; GPT-6 Luna’s was 2.45 under Linear and 2.50 under AKG-guided orchestration. Valid model variants numbered 30/30 and 29/29 for DeepSeek and 25/30 and 27/30 for Luna (Linear and AKG-guided, respectively), but no model variant was confirmed; confirmed candidate outcomes came from supplied seeds. No chaining transition was independently confirmed. The composite medians therefore show no change for DeepSeek and a 0.05 increase for Luna under AKG guidance, without establishing a verified outcome advantage across the assessable DVWA scenarios.</w:t>
      </w:r>
    </w:p>
    <w:p w14:paraId="3875858F" w14:textId="1AA80651" w:rsidR="00F61298" w:rsidRPr="004822B7" w:rsidRDefault="00E3588F">
      <w:pPr>
        <w:spacing w:line="228" w:lineRule="auto"/>
        <w:ind w:firstLine="289"/>
        <w:rPr>
          <w:color w:val="auto"/>
        </w:rPr>
      </w:pPr>
      <w:r w:rsidRPr="004822B7">
        <w:rPr>
          <w:color w:val="auto"/>
        </w:rPr>
        <w:t>Further research could test target-specific verifications outside of DVWA</w:t>
      </w:r>
      <w:r w:rsidR="00AF3F11" w:rsidRPr="004822B7">
        <w:rPr>
          <w:color w:val="auto"/>
        </w:rPr>
        <w:t xml:space="preserve"> and</w:t>
      </w:r>
      <w:r w:rsidRPr="004822B7">
        <w:rPr>
          <w:color w:val="auto"/>
        </w:rPr>
        <w:t xml:space="preserve"> </w:t>
      </w:r>
      <w:r w:rsidR="00AF3F11" w:rsidRPr="004822B7">
        <w:rPr>
          <w:color w:val="auto"/>
        </w:rPr>
        <w:t>examine deeper chains with independent dependency controls</w:t>
      </w:r>
      <w:r w:rsidRPr="004822B7">
        <w:rPr>
          <w:color w:val="auto"/>
        </w:rPr>
        <w:t xml:space="preserve">. </w:t>
      </w:r>
      <w:r w:rsidR="000B700C" w:rsidRPr="004822B7">
        <w:rPr>
          <w:color w:val="auto"/>
        </w:rPr>
        <w:t>Evaluating</w:t>
      </w:r>
      <w:r w:rsidRPr="004822B7">
        <w:rPr>
          <w:color w:val="auto"/>
        </w:rPr>
        <w:t xml:space="preserve"> other models, </w:t>
      </w:r>
      <w:r w:rsidR="001552A7" w:rsidRPr="004822B7">
        <w:rPr>
          <w:color w:val="auto"/>
        </w:rPr>
        <w:t>improving the overall AKG architecture</w:t>
      </w:r>
      <w:r w:rsidRPr="004822B7">
        <w:rPr>
          <w:color w:val="auto"/>
        </w:rPr>
        <w:t xml:space="preserve">, and </w:t>
      </w:r>
      <w:r w:rsidR="00E50A60" w:rsidRPr="004822B7">
        <w:rPr>
          <w:color w:val="auto"/>
        </w:rPr>
        <w:t>involving additional</w:t>
      </w:r>
      <w:r w:rsidRPr="004822B7">
        <w:rPr>
          <w:color w:val="auto"/>
        </w:rPr>
        <w:t xml:space="preserve"> evaluators could help to overcome the current limitation of the study.</w:t>
      </w:r>
    </w:p>
    <w:p w14:paraId="0403A778" w14:textId="77777777" w:rsidR="00154674" w:rsidRPr="008F6F5F" w:rsidRDefault="00BA393B">
      <w:pPr>
        <w:pStyle w:val="Heading1"/>
        <w:jc w:val="center"/>
        <w:rPr>
          <w:color w:val="auto"/>
        </w:rPr>
      </w:pPr>
      <w:r w:rsidRPr="008F6F5F">
        <w:rPr>
          <w:color w:val="auto"/>
        </w:rPr>
        <w:t>References</w:t>
      </w:r>
    </w:p>
    <w:p w14:paraId="5D4CA7BC" w14:textId="77777777" w:rsidR="001A55D7" w:rsidRPr="00E11F84" w:rsidRDefault="001A55D7" w:rsidP="00E11F84">
      <w:pPr>
        <w:pStyle w:val="Bibliography"/>
        <w:spacing w:line="240" w:lineRule="auto"/>
        <w:rPr>
          <w:sz w:val="16"/>
          <w:szCs w:val="16"/>
        </w:rPr>
      </w:pPr>
      <w:r w:rsidRPr="00E11F84">
        <w:rPr>
          <w:sz w:val="16"/>
          <w:szCs w:val="16"/>
        </w:rPr>
        <w:fldChar w:fldCharType="begin"/>
      </w:r>
      <w:r w:rsidRPr="00E11F84">
        <w:rPr>
          <w:sz w:val="16"/>
          <w:szCs w:val="16"/>
        </w:rPr>
        <w:instrText xml:space="preserve"> ADDIN ZOTERO_BIBL {"uncited":[],"omitted":[],"custom":[]} CSL_BIBLIOGRAPHY </w:instrText>
      </w:r>
      <w:r w:rsidRPr="00E11F84">
        <w:rPr>
          <w:sz w:val="16"/>
          <w:szCs w:val="16"/>
        </w:rPr>
        <w:fldChar w:fldCharType="separate"/>
      </w:r>
      <w:r w:rsidRPr="00E11F84">
        <w:rPr>
          <w:sz w:val="16"/>
          <w:szCs w:val="16"/>
        </w:rPr>
        <w:t>[1]</w:t>
      </w:r>
      <w:r w:rsidRPr="00E11F84">
        <w:rPr>
          <w:sz w:val="16"/>
          <w:szCs w:val="16"/>
        </w:rPr>
        <w:tab/>
        <w:t xml:space="preserve">G. Deng </w:t>
      </w:r>
      <w:r w:rsidRPr="00E11F84">
        <w:rPr>
          <w:i/>
          <w:iCs/>
          <w:sz w:val="16"/>
          <w:szCs w:val="16"/>
        </w:rPr>
        <w:t>et al.</w:t>
      </w:r>
      <w:r w:rsidRPr="00E11F84">
        <w:rPr>
          <w:sz w:val="16"/>
          <w:szCs w:val="16"/>
        </w:rPr>
        <w:t>, “PentestGPT: Evaluating and Harnessing Large Language Models for Automated Penetration Testing,” presented at the 33rd USENIX Security Symposium (USENIX Security 24), 2024, pp. 847–864. Accessed: May 09, 2026. [Online]. Available: https://www.usenix.org/conference/usenixsecurity24/presentation/deng</w:t>
      </w:r>
    </w:p>
    <w:p w14:paraId="60CBD0D4" w14:textId="77777777" w:rsidR="001A55D7" w:rsidRPr="00E11F84" w:rsidRDefault="001A55D7" w:rsidP="00E11F84">
      <w:pPr>
        <w:pStyle w:val="Bibliography"/>
        <w:spacing w:line="240" w:lineRule="auto"/>
        <w:rPr>
          <w:sz w:val="16"/>
          <w:szCs w:val="16"/>
        </w:rPr>
      </w:pPr>
      <w:r w:rsidRPr="00E11F84">
        <w:rPr>
          <w:sz w:val="16"/>
          <w:szCs w:val="16"/>
        </w:rPr>
        <w:t>[2]</w:t>
      </w:r>
      <w:r w:rsidRPr="00E11F84">
        <w:rPr>
          <w:sz w:val="16"/>
          <w:szCs w:val="16"/>
        </w:rPr>
        <w:tab/>
        <w:t xml:space="preserve">A. Happe and J. Cito, “Getting pwn’d by AI: Penetration Testing with Large Language Models,” in </w:t>
      </w:r>
      <w:r w:rsidRPr="00E11F84">
        <w:rPr>
          <w:i/>
          <w:iCs/>
          <w:sz w:val="16"/>
          <w:szCs w:val="16"/>
        </w:rPr>
        <w:t>Proceedings of the 31st ACM Joint European Software Engineering Conference and Symposium on the Foundations of Software Engineering</w:t>
      </w:r>
      <w:r w:rsidRPr="00E11F84">
        <w:rPr>
          <w:sz w:val="16"/>
          <w:szCs w:val="16"/>
        </w:rPr>
        <w:t>, in ESEC/FSE 2023. New York, NY, USA: Association for Computing Machinery, Nov. 2023, pp. 2082–2086. doi: 10.1145/3611643.3613083.</w:t>
      </w:r>
    </w:p>
    <w:p w14:paraId="061746B0" w14:textId="77777777" w:rsidR="001A55D7" w:rsidRPr="00E11F84" w:rsidRDefault="001A55D7" w:rsidP="00E11F84">
      <w:pPr>
        <w:pStyle w:val="Bibliography"/>
        <w:spacing w:line="240" w:lineRule="auto"/>
        <w:rPr>
          <w:sz w:val="16"/>
          <w:szCs w:val="16"/>
        </w:rPr>
      </w:pPr>
      <w:r w:rsidRPr="00E11F84">
        <w:rPr>
          <w:sz w:val="16"/>
          <w:szCs w:val="16"/>
        </w:rPr>
        <w:t>[3]</w:t>
      </w:r>
      <w:r w:rsidRPr="00E11F84">
        <w:rPr>
          <w:sz w:val="16"/>
          <w:szCs w:val="16"/>
        </w:rPr>
        <w:tab/>
        <w:t xml:space="preserve">N. O. Jaffal, M. Alkhanafseh, and D. Mohaisen, “Large Language Models in Cybersecurity: A Survey of Applications, Vulnerabilities, and Defense Techniques,” </w:t>
      </w:r>
      <w:r w:rsidRPr="00E11F84">
        <w:rPr>
          <w:i/>
          <w:iCs/>
          <w:sz w:val="16"/>
          <w:szCs w:val="16"/>
        </w:rPr>
        <w:t>AI</w:t>
      </w:r>
      <w:r w:rsidRPr="00E11F84">
        <w:rPr>
          <w:sz w:val="16"/>
          <w:szCs w:val="16"/>
        </w:rPr>
        <w:t>, vol. 6, no. 9, p. 216, Sep. 2025, doi: 10.3390/ai6090216.</w:t>
      </w:r>
    </w:p>
    <w:p w14:paraId="45FF701B" w14:textId="77777777" w:rsidR="001A55D7" w:rsidRPr="00E11F84" w:rsidRDefault="001A55D7" w:rsidP="00E11F84">
      <w:pPr>
        <w:pStyle w:val="Bibliography"/>
        <w:spacing w:line="240" w:lineRule="auto"/>
        <w:rPr>
          <w:sz w:val="16"/>
          <w:szCs w:val="16"/>
        </w:rPr>
      </w:pPr>
      <w:r w:rsidRPr="00E11F84">
        <w:rPr>
          <w:sz w:val="16"/>
          <w:szCs w:val="16"/>
        </w:rPr>
        <w:t>[4]</w:t>
      </w:r>
      <w:r w:rsidRPr="00E11F84">
        <w:rPr>
          <w:sz w:val="16"/>
          <w:szCs w:val="16"/>
        </w:rPr>
        <w:tab/>
        <w:t xml:space="preserve">L. Huang </w:t>
      </w:r>
      <w:r w:rsidRPr="00E11F84">
        <w:rPr>
          <w:i/>
          <w:iCs/>
          <w:sz w:val="16"/>
          <w:szCs w:val="16"/>
        </w:rPr>
        <w:t>et al.</w:t>
      </w:r>
      <w:r w:rsidRPr="00E11F84">
        <w:rPr>
          <w:sz w:val="16"/>
          <w:szCs w:val="16"/>
        </w:rPr>
        <w:t xml:space="preserve">, “A Survey on Hallucination in Large Language Models: Principles, Taxonomy, Challenges, and Open Questions,” </w:t>
      </w:r>
      <w:r w:rsidRPr="00E11F84">
        <w:rPr>
          <w:i/>
          <w:iCs/>
          <w:sz w:val="16"/>
          <w:szCs w:val="16"/>
        </w:rPr>
        <w:t>ACM Trans. Inf. Syst.</w:t>
      </w:r>
      <w:r w:rsidRPr="00E11F84">
        <w:rPr>
          <w:sz w:val="16"/>
          <w:szCs w:val="16"/>
        </w:rPr>
        <w:t>, vol. 43, no. 2, p. 42:1-42:55, Jan. 2025, doi: 10.1145/3703155.</w:t>
      </w:r>
    </w:p>
    <w:p w14:paraId="737C8F0D" w14:textId="77777777" w:rsidR="001A55D7" w:rsidRPr="00E11F84" w:rsidRDefault="001A55D7" w:rsidP="00E11F84">
      <w:pPr>
        <w:pStyle w:val="Bibliography"/>
        <w:spacing w:line="240" w:lineRule="auto"/>
        <w:rPr>
          <w:sz w:val="16"/>
          <w:szCs w:val="16"/>
        </w:rPr>
      </w:pPr>
      <w:r w:rsidRPr="00E11F84">
        <w:rPr>
          <w:sz w:val="16"/>
          <w:szCs w:val="16"/>
        </w:rPr>
        <w:t>[5]</w:t>
      </w:r>
      <w:r w:rsidRPr="00E11F84">
        <w:rPr>
          <w:sz w:val="16"/>
          <w:szCs w:val="16"/>
        </w:rPr>
        <w:tab/>
        <w:t xml:space="preserve">S. Ullah, M. Han, S. Pujar, H. Pearce, A. Coskun, and G. Stringhini, “LLMs Cannot Reliably Identify and Reason About Security Vulnerabilities (Yet?): A Comprehensive Evaluation, Framework, and Benchmarks,” in </w:t>
      </w:r>
      <w:r w:rsidRPr="00E11F84">
        <w:rPr>
          <w:i/>
          <w:iCs/>
          <w:sz w:val="16"/>
          <w:szCs w:val="16"/>
        </w:rPr>
        <w:t>2024 IEEE Symposium on Security and Privacy (SP)</w:t>
      </w:r>
      <w:r w:rsidRPr="00E11F84">
        <w:rPr>
          <w:sz w:val="16"/>
          <w:szCs w:val="16"/>
        </w:rPr>
        <w:t>, May 2024, pp. 862–880. doi: 10.1109/SP54263.2024.00210.</w:t>
      </w:r>
    </w:p>
    <w:p w14:paraId="0C88DE5C" w14:textId="77777777" w:rsidR="001A55D7" w:rsidRPr="00E11F84" w:rsidRDefault="001A55D7" w:rsidP="00E11F84">
      <w:pPr>
        <w:pStyle w:val="Bibliography"/>
        <w:spacing w:line="240" w:lineRule="auto"/>
        <w:rPr>
          <w:sz w:val="16"/>
          <w:szCs w:val="16"/>
        </w:rPr>
      </w:pPr>
      <w:r w:rsidRPr="00E11F84">
        <w:rPr>
          <w:sz w:val="16"/>
          <w:szCs w:val="16"/>
        </w:rPr>
        <w:t>[6]</w:t>
      </w:r>
      <w:r w:rsidRPr="00E11F84">
        <w:rPr>
          <w:sz w:val="16"/>
          <w:szCs w:val="16"/>
        </w:rPr>
        <w:tab/>
        <w:t xml:space="preserve">S. Ji, S. Pan, E. Cambria, P. Marttinen, and P. S. Yu, “A Survey on Knowledge Graphs: Representation, Acquisition, and Applications,” </w:t>
      </w:r>
      <w:r w:rsidRPr="00E11F84">
        <w:rPr>
          <w:i/>
          <w:iCs/>
          <w:sz w:val="16"/>
          <w:szCs w:val="16"/>
        </w:rPr>
        <w:t>IEEE Transactions on Neural Networks and Learning Systems</w:t>
      </w:r>
      <w:r w:rsidRPr="00E11F84">
        <w:rPr>
          <w:sz w:val="16"/>
          <w:szCs w:val="16"/>
        </w:rPr>
        <w:t>, vol. 33, no. 2, pp. 494–514, Feb. 2022, doi: 10.1109/TNNLS.2021.3070843.</w:t>
      </w:r>
    </w:p>
    <w:p w14:paraId="79C733FA" w14:textId="77777777" w:rsidR="001A55D7" w:rsidRPr="00E11F84" w:rsidRDefault="001A55D7" w:rsidP="00E11F84">
      <w:pPr>
        <w:pStyle w:val="Bibliography"/>
        <w:spacing w:line="240" w:lineRule="auto"/>
        <w:rPr>
          <w:sz w:val="16"/>
          <w:szCs w:val="16"/>
        </w:rPr>
      </w:pPr>
      <w:r w:rsidRPr="00E11F84">
        <w:rPr>
          <w:sz w:val="16"/>
          <w:szCs w:val="16"/>
        </w:rPr>
        <w:t>[7]</w:t>
      </w:r>
      <w:r w:rsidRPr="00E11F84">
        <w:rPr>
          <w:sz w:val="16"/>
          <w:szCs w:val="16"/>
        </w:rPr>
        <w:tab/>
        <w:t xml:space="preserve">L. F. Sikos, “Cybersecurity knowledge graphs,” </w:t>
      </w:r>
      <w:r w:rsidRPr="00E11F84">
        <w:rPr>
          <w:i/>
          <w:iCs/>
          <w:sz w:val="16"/>
          <w:szCs w:val="16"/>
        </w:rPr>
        <w:t>Knowl Inf Syst</w:t>
      </w:r>
      <w:r w:rsidRPr="00E11F84">
        <w:rPr>
          <w:sz w:val="16"/>
          <w:szCs w:val="16"/>
        </w:rPr>
        <w:t>, vol. 65, no. 9, pp. 3511–3531, Sep. 2023, doi: 10.1007/s10115-023-01860-3.</w:t>
      </w:r>
    </w:p>
    <w:p w14:paraId="6A2205BD" w14:textId="77777777" w:rsidR="001A55D7" w:rsidRPr="00E11F84" w:rsidRDefault="001A55D7" w:rsidP="00E11F84">
      <w:pPr>
        <w:pStyle w:val="Bibliography"/>
        <w:spacing w:line="240" w:lineRule="auto"/>
        <w:rPr>
          <w:sz w:val="16"/>
          <w:szCs w:val="16"/>
        </w:rPr>
      </w:pPr>
      <w:r w:rsidRPr="00E11F84">
        <w:rPr>
          <w:sz w:val="16"/>
          <w:szCs w:val="16"/>
        </w:rPr>
        <w:t>[8]</w:t>
      </w:r>
      <w:r w:rsidRPr="00E11F84">
        <w:rPr>
          <w:sz w:val="16"/>
          <w:szCs w:val="16"/>
        </w:rPr>
        <w:tab/>
        <w:t xml:space="preserve">O. Sheyner, J. Haines, S. Jha, R. Lippmann, and J. M. Wing, “Automated generation and analysis of attack graphs,” in </w:t>
      </w:r>
      <w:r w:rsidRPr="00E11F84">
        <w:rPr>
          <w:i/>
          <w:iCs/>
          <w:sz w:val="16"/>
          <w:szCs w:val="16"/>
        </w:rPr>
        <w:t>Proceedings 2002 IEEE Symposium on Security and Privacy</w:t>
      </w:r>
      <w:r w:rsidRPr="00E11F84">
        <w:rPr>
          <w:sz w:val="16"/>
          <w:szCs w:val="16"/>
        </w:rPr>
        <w:t>, May 2002, pp. 273–284. doi: 10.1109/SECPRI.2002.1004377.</w:t>
      </w:r>
    </w:p>
    <w:p w14:paraId="364310AF" w14:textId="77777777" w:rsidR="001A55D7" w:rsidRPr="00E11F84" w:rsidRDefault="001A55D7" w:rsidP="00E11F84">
      <w:pPr>
        <w:pStyle w:val="Bibliography"/>
        <w:spacing w:line="240" w:lineRule="auto"/>
        <w:rPr>
          <w:sz w:val="16"/>
          <w:szCs w:val="16"/>
        </w:rPr>
      </w:pPr>
      <w:r w:rsidRPr="00E11F84">
        <w:rPr>
          <w:sz w:val="16"/>
          <w:szCs w:val="16"/>
        </w:rPr>
        <w:t>[9]</w:t>
      </w:r>
      <w:r w:rsidRPr="00E11F84">
        <w:rPr>
          <w:sz w:val="16"/>
          <w:szCs w:val="16"/>
        </w:rPr>
        <w:tab/>
        <w:t xml:space="preserve">X. Shen </w:t>
      </w:r>
      <w:r w:rsidRPr="00E11F84">
        <w:rPr>
          <w:i/>
          <w:iCs/>
          <w:sz w:val="16"/>
          <w:szCs w:val="16"/>
        </w:rPr>
        <w:t>et al.</w:t>
      </w:r>
      <w:r w:rsidRPr="00E11F84">
        <w:rPr>
          <w:sz w:val="16"/>
          <w:szCs w:val="16"/>
        </w:rPr>
        <w:t xml:space="preserve">, “PentestAgent: Incorporating LLM Agents to Automated Penetration Testing,” in </w:t>
      </w:r>
      <w:r w:rsidRPr="00E11F84">
        <w:rPr>
          <w:i/>
          <w:iCs/>
          <w:sz w:val="16"/>
          <w:szCs w:val="16"/>
        </w:rPr>
        <w:t>Proceedings of the 20th ACM Asia Conference on Computer and Communications Security</w:t>
      </w:r>
      <w:r w:rsidRPr="00E11F84">
        <w:rPr>
          <w:sz w:val="16"/>
          <w:szCs w:val="16"/>
        </w:rPr>
        <w:t>, in ASIA CCS ’25. New York, NY, USA: Association for Computing Machinery, Aug. 2025, pp. 375–391. doi: 10.1145/3708821.3733882.</w:t>
      </w:r>
    </w:p>
    <w:p w14:paraId="45E3C810" w14:textId="77777777" w:rsidR="001A55D7" w:rsidRPr="00E11F84" w:rsidRDefault="001A55D7" w:rsidP="00E11F84">
      <w:pPr>
        <w:pStyle w:val="Bibliography"/>
        <w:spacing w:line="240" w:lineRule="auto"/>
        <w:rPr>
          <w:sz w:val="16"/>
          <w:szCs w:val="16"/>
        </w:rPr>
      </w:pPr>
      <w:r w:rsidRPr="00E11F84">
        <w:rPr>
          <w:sz w:val="16"/>
          <w:szCs w:val="16"/>
        </w:rPr>
        <w:t>[10]</w:t>
      </w:r>
      <w:r w:rsidRPr="00E11F84">
        <w:rPr>
          <w:sz w:val="16"/>
          <w:szCs w:val="16"/>
        </w:rPr>
        <w:tab/>
        <w:t>H. Kong, D. Hu, J. Ge, L. Li, T. Li, and B. Wu, “VulnBot: Autonomous Penetration Testing for A Multi-Agent Collaborative Framework,” 2025, doi: 10.48550/ARXIV.2501.13411.</w:t>
      </w:r>
    </w:p>
    <w:p w14:paraId="4E7EFA62" w14:textId="77777777" w:rsidR="001A55D7" w:rsidRPr="00E11F84" w:rsidRDefault="001A55D7" w:rsidP="00E11F84">
      <w:pPr>
        <w:pStyle w:val="Bibliography"/>
        <w:spacing w:line="240" w:lineRule="auto"/>
        <w:rPr>
          <w:sz w:val="16"/>
          <w:szCs w:val="16"/>
        </w:rPr>
      </w:pPr>
      <w:r w:rsidRPr="00E11F84">
        <w:rPr>
          <w:sz w:val="16"/>
          <w:szCs w:val="16"/>
        </w:rPr>
        <w:t>[11]</w:t>
      </w:r>
      <w:r w:rsidRPr="00E11F84">
        <w:rPr>
          <w:sz w:val="16"/>
          <w:szCs w:val="16"/>
        </w:rPr>
        <w:tab/>
        <w:t>A. S. Jaswal and A. Baghel, “AWE: Adaptive Agents for Dynamic Web Penetration Testing,” Mar. 01, 2026. doi: 10.14722/last-x.2026.23037.</w:t>
      </w:r>
    </w:p>
    <w:p w14:paraId="78586301" w14:textId="77777777" w:rsidR="001A55D7" w:rsidRPr="00E11F84" w:rsidRDefault="001A55D7" w:rsidP="00E11F84">
      <w:pPr>
        <w:pStyle w:val="Bibliography"/>
        <w:spacing w:line="240" w:lineRule="auto"/>
        <w:rPr>
          <w:sz w:val="16"/>
          <w:szCs w:val="16"/>
        </w:rPr>
      </w:pPr>
      <w:r w:rsidRPr="00E11F84">
        <w:rPr>
          <w:sz w:val="16"/>
          <w:szCs w:val="16"/>
        </w:rPr>
        <w:t>[12]</w:t>
      </w:r>
      <w:r w:rsidRPr="00E11F84">
        <w:rPr>
          <w:sz w:val="16"/>
          <w:szCs w:val="16"/>
        </w:rPr>
        <w:tab/>
        <w:t xml:space="preserve">C. Skandylas and M. Asplund, “Automated penetration testing: Formalization and realization,” </w:t>
      </w:r>
      <w:r w:rsidRPr="00E11F84">
        <w:rPr>
          <w:i/>
          <w:iCs/>
          <w:sz w:val="16"/>
          <w:szCs w:val="16"/>
        </w:rPr>
        <w:t>Computers &amp; Security</w:t>
      </w:r>
      <w:r w:rsidRPr="00E11F84">
        <w:rPr>
          <w:sz w:val="16"/>
          <w:szCs w:val="16"/>
        </w:rPr>
        <w:t>, vol. 155, p. 104454, Aug. 2025, doi: 10.1016/j.cose.2025.104454.</w:t>
      </w:r>
    </w:p>
    <w:p w14:paraId="71DB22A8" w14:textId="77777777" w:rsidR="001A55D7" w:rsidRPr="00E11F84" w:rsidRDefault="001A55D7" w:rsidP="00E11F84">
      <w:pPr>
        <w:pStyle w:val="Bibliography"/>
        <w:spacing w:line="240" w:lineRule="auto"/>
        <w:rPr>
          <w:sz w:val="16"/>
          <w:szCs w:val="16"/>
        </w:rPr>
      </w:pPr>
      <w:r w:rsidRPr="00E11F84">
        <w:rPr>
          <w:sz w:val="16"/>
          <w:szCs w:val="16"/>
        </w:rPr>
        <w:t>[13]</w:t>
      </w:r>
      <w:r w:rsidRPr="00E11F84">
        <w:rPr>
          <w:sz w:val="16"/>
          <w:szCs w:val="16"/>
        </w:rPr>
        <w:tab/>
        <w:t xml:space="preserve">Y. Wang </w:t>
      </w:r>
      <w:r w:rsidRPr="00E11F84">
        <w:rPr>
          <w:i/>
          <w:iCs/>
          <w:sz w:val="16"/>
          <w:szCs w:val="16"/>
        </w:rPr>
        <w:t>et al.</w:t>
      </w:r>
      <w:r w:rsidRPr="00E11F84">
        <w:rPr>
          <w:sz w:val="16"/>
          <w:szCs w:val="16"/>
        </w:rPr>
        <w:t xml:space="preserve">, “A unified modeling framework for automated penetration testing,” </w:t>
      </w:r>
      <w:r w:rsidRPr="00E11F84">
        <w:rPr>
          <w:i/>
          <w:iCs/>
          <w:sz w:val="16"/>
          <w:szCs w:val="16"/>
        </w:rPr>
        <w:t>Computers &amp; Security</w:t>
      </w:r>
      <w:r w:rsidRPr="00E11F84">
        <w:rPr>
          <w:sz w:val="16"/>
          <w:szCs w:val="16"/>
        </w:rPr>
        <w:t>, vol. 162, p. 104787, Mar. 2026, doi: 10.1016/j.cose.2025.104787.</w:t>
      </w:r>
    </w:p>
    <w:p w14:paraId="7ECD8CA0" w14:textId="77777777" w:rsidR="001A55D7" w:rsidRPr="00E11F84" w:rsidRDefault="001A55D7" w:rsidP="00E11F84">
      <w:pPr>
        <w:pStyle w:val="Bibliography"/>
        <w:spacing w:line="240" w:lineRule="auto"/>
        <w:rPr>
          <w:sz w:val="16"/>
          <w:szCs w:val="16"/>
        </w:rPr>
      </w:pPr>
      <w:r w:rsidRPr="00E11F84">
        <w:rPr>
          <w:sz w:val="16"/>
          <w:szCs w:val="16"/>
        </w:rPr>
        <w:t>[14]</w:t>
      </w:r>
      <w:r w:rsidRPr="00E11F84">
        <w:rPr>
          <w:sz w:val="16"/>
          <w:szCs w:val="16"/>
        </w:rPr>
        <w:tab/>
        <w:t>R. T. Prapty, A. Kundu, and A. Iyengar, “Using Retriever Augmented Large Language Models for Attack Graph Generation,” 2024, doi: 10.48550/ARXIV.2408.05855.</w:t>
      </w:r>
    </w:p>
    <w:p w14:paraId="2E98D13C" w14:textId="77777777" w:rsidR="001A55D7" w:rsidRPr="00E11F84" w:rsidRDefault="001A55D7" w:rsidP="00E11F84">
      <w:pPr>
        <w:pStyle w:val="Bibliography"/>
        <w:spacing w:line="240" w:lineRule="auto"/>
        <w:rPr>
          <w:sz w:val="16"/>
          <w:szCs w:val="16"/>
        </w:rPr>
      </w:pPr>
      <w:r w:rsidRPr="00E11F84">
        <w:rPr>
          <w:sz w:val="16"/>
          <w:szCs w:val="16"/>
        </w:rPr>
        <w:t>[15]</w:t>
      </w:r>
      <w:r w:rsidRPr="00E11F84">
        <w:rPr>
          <w:sz w:val="16"/>
          <w:szCs w:val="16"/>
        </w:rPr>
        <w:tab/>
        <w:t xml:space="preserve">L. Gioacchini, A. Delsanto, I. Drago, M. Mellia, G. Siracusano, and R. Bifulco, “AutoPenBench: A Vulnerability Testing Benchmark for Generative Agents,” in </w:t>
      </w:r>
      <w:r w:rsidRPr="00E11F84">
        <w:rPr>
          <w:i/>
          <w:iCs/>
          <w:sz w:val="16"/>
          <w:szCs w:val="16"/>
        </w:rPr>
        <w:t>Proceedings of the 2025 Conference on Empirical Methods in Natural Language Processing: Industry Track</w:t>
      </w:r>
      <w:r w:rsidRPr="00E11F84">
        <w:rPr>
          <w:sz w:val="16"/>
          <w:szCs w:val="16"/>
        </w:rPr>
        <w:t>, S. Potdar, L. Rojas-Barahona, and S. Montella, Eds., Suzhou (China): Association for Computational Linguistics, Nov. 2025, pp. 1615–1624. doi: 10.18653/v1/2025.emnlp-industry.114.</w:t>
      </w:r>
    </w:p>
    <w:p w14:paraId="379FAF0F" w14:textId="77777777" w:rsidR="001A55D7" w:rsidRPr="00E11F84" w:rsidRDefault="001A55D7" w:rsidP="00E11F84">
      <w:pPr>
        <w:pStyle w:val="Bibliography"/>
        <w:spacing w:line="240" w:lineRule="auto"/>
        <w:rPr>
          <w:sz w:val="16"/>
          <w:szCs w:val="16"/>
        </w:rPr>
      </w:pPr>
      <w:r w:rsidRPr="00E11F84">
        <w:rPr>
          <w:sz w:val="16"/>
          <w:szCs w:val="16"/>
        </w:rPr>
        <w:t>[16]</w:t>
      </w:r>
      <w:r w:rsidRPr="00E11F84">
        <w:rPr>
          <w:sz w:val="16"/>
          <w:szCs w:val="16"/>
        </w:rPr>
        <w:tab/>
        <w:t xml:space="preserve">A. Anas, S. Elgamal, and B. Youssef, “Survey on detecting and preventing web application broken access control attacks,” </w:t>
      </w:r>
      <w:r w:rsidRPr="00E11F84">
        <w:rPr>
          <w:i/>
          <w:iCs/>
          <w:sz w:val="16"/>
          <w:szCs w:val="16"/>
        </w:rPr>
        <w:t>International Journal of Electrical and Computer Engineering (IJECE)</w:t>
      </w:r>
      <w:r w:rsidRPr="00E11F84">
        <w:rPr>
          <w:sz w:val="16"/>
          <w:szCs w:val="16"/>
        </w:rPr>
        <w:t>, vol. 14, no. 1, pp. 772–781, Feb. 2024, doi: 10.11591/ijece.v14i1.pp772-781.</w:t>
      </w:r>
    </w:p>
    <w:p w14:paraId="040B9823" w14:textId="77777777" w:rsidR="001A55D7" w:rsidRPr="00E11F84" w:rsidRDefault="001A55D7" w:rsidP="00E11F84">
      <w:pPr>
        <w:pStyle w:val="Bibliography"/>
        <w:spacing w:line="240" w:lineRule="auto"/>
        <w:rPr>
          <w:sz w:val="16"/>
          <w:szCs w:val="16"/>
        </w:rPr>
      </w:pPr>
      <w:r w:rsidRPr="00E11F84">
        <w:rPr>
          <w:sz w:val="16"/>
          <w:szCs w:val="16"/>
        </w:rPr>
        <w:t>[17]</w:t>
      </w:r>
      <w:r w:rsidRPr="00E11F84">
        <w:rPr>
          <w:sz w:val="16"/>
          <w:szCs w:val="16"/>
        </w:rPr>
        <w:tab/>
        <w:t xml:space="preserve">Y. Huang, C. Shi, J. Lu, H. Li, H. Meng, and L. Li, “Detecting Broken Object-Level Authorization Vulnerabilities in Database-Backed Applications,” in </w:t>
      </w:r>
      <w:r w:rsidRPr="00E11F84">
        <w:rPr>
          <w:i/>
          <w:iCs/>
          <w:sz w:val="16"/>
          <w:szCs w:val="16"/>
        </w:rPr>
        <w:t>Proceedings of the 2024 on ACM SIGSAC Conference on Computer and Communications Security</w:t>
      </w:r>
      <w:r w:rsidRPr="00E11F84">
        <w:rPr>
          <w:sz w:val="16"/>
          <w:szCs w:val="16"/>
        </w:rPr>
        <w:t>, in CCS ’24. New York, NY, USA: Association for Computing Machinery, Dec. 2024, pp. 2934–2948. doi: 10.1145/3658644.3690227.</w:t>
      </w:r>
    </w:p>
    <w:p w14:paraId="4BD82758" w14:textId="77777777" w:rsidR="001A55D7" w:rsidRPr="00E11F84" w:rsidRDefault="001A55D7" w:rsidP="00E11F84">
      <w:pPr>
        <w:pStyle w:val="Bibliography"/>
        <w:spacing w:line="240" w:lineRule="auto"/>
        <w:rPr>
          <w:sz w:val="16"/>
          <w:szCs w:val="16"/>
        </w:rPr>
      </w:pPr>
      <w:r w:rsidRPr="00E11F84">
        <w:rPr>
          <w:sz w:val="16"/>
          <w:szCs w:val="16"/>
        </w:rPr>
        <w:lastRenderedPageBreak/>
        <w:t>[18]</w:t>
      </w:r>
      <w:r w:rsidRPr="00E11F84">
        <w:rPr>
          <w:sz w:val="16"/>
          <w:szCs w:val="16"/>
        </w:rPr>
        <w:tab/>
        <w:t xml:space="preserve">I. Alkhwaja </w:t>
      </w:r>
      <w:r w:rsidRPr="00E11F84">
        <w:rPr>
          <w:i/>
          <w:iCs/>
          <w:sz w:val="16"/>
          <w:szCs w:val="16"/>
        </w:rPr>
        <w:t>et al.</w:t>
      </w:r>
      <w:r w:rsidRPr="00E11F84">
        <w:rPr>
          <w:sz w:val="16"/>
          <w:szCs w:val="16"/>
        </w:rPr>
        <w:t xml:space="preserve">, “Password Cracking with Brute Force Algorithm and Dictionary Attack Using Parallel Programming,” </w:t>
      </w:r>
      <w:r w:rsidRPr="00E11F84">
        <w:rPr>
          <w:i/>
          <w:iCs/>
          <w:sz w:val="16"/>
          <w:szCs w:val="16"/>
        </w:rPr>
        <w:t>Applied Sciences</w:t>
      </w:r>
      <w:r w:rsidRPr="00E11F84">
        <w:rPr>
          <w:sz w:val="16"/>
          <w:szCs w:val="16"/>
        </w:rPr>
        <w:t>, vol. 13, no. 10, p. 5979, Jan. 2023, doi: 10.3390/app13105979.</w:t>
      </w:r>
    </w:p>
    <w:p w14:paraId="3E6A3063" w14:textId="77777777" w:rsidR="001A55D7" w:rsidRPr="00E11F84" w:rsidRDefault="001A55D7" w:rsidP="00E11F84">
      <w:pPr>
        <w:pStyle w:val="Bibliography"/>
        <w:spacing w:line="240" w:lineRule="auto"/>
        <w:rPr>
          <w:sz w:val="16"/>
          <w:szCs w:val="16"/>
        </w:rPr>
      </w:pPr>
      <w:r w:rsidRPr="00E11F84">
        <w:rPr>
          <w:sz w:val="16"/>
          <w:szCs w:val="16"/>
        </w:rPr>
        <w:t>[19]</w:t>
      </w:r>
      <w:r w:rsidRPr="00E11F84">
        <w:rPr>
          <w:sz w:val="16"/>
          <w:szCs w:val="16"/>
        </w:rPr>
        <w:tab/>
        <w:t xml:space="preserve">Y. Dong </w:t>
      </w:r>
      <w:r w:rsidRPr="00E11F84">
        <w:rPr>
          <w:i/>
          <w:iCs/>
          <w:sz w:val="16"/>
          <w:szCs w:val="16"/>
        </w:rPr>
        <w:t>et al.</w:t>
      </w:r>
      <w:r w:rsidRPr="00E11F84">
        <w:rPr>
          <w:sz w:val="16"/>
          <w:szCs w:val="16"/>
        </w:rPr>
        <w:t xml:space="preserve">, “Safeguarding large language models: a survey,” </w:t>
      </w:r>
      <w:r w:rsidRPr="00E11F84">
        <w:rPr>
          <w:i/>
          <w:iCs/>
          <w:sz w:val="16"/>
          <w:szCs w:val="16"/>
        </w:rPr>
        <w:t>Artif Intell Rev</w:t>
      </w:r>
      <w:r w:rsidRPr="00E11F84">
        <w:rPr>
          <w:sz w:val="16"/>
          <w:szCs w:val="16"/>
        </w:rPr>
        <w:t>, vol. 58, no. 12, p. 382, Oct. 2025, doi: 10.1007/s10462-025-11389-2.</w:t>
      </w:r>
    </w:p>
    <w:p w14:paraId="0ACF2281" w14:textId="77777777" w:rsidR="001A55D7" w:rsidRPr="00E11F84" w:rsidRDefault="001A55D7" w:rsidP="00E11F84">
      <w:pPr>
        <w:pStyle w:val="Bibliography"/>
        <w:spacing w:line="240" w:lineRule="auto"/>
        <w:rPr>
          <w:sz w:val="16"/>
          <w:szCs w:val="16"/>
        </w:rPr>
      </w:pPr>
      <w:r w:rsidRPr="00E11F84">
        <w:rPr>
          <w:sz w:val="16"/>
          <w:szCs w:val="16"/>
        </w:rPr>
        <w:t>[20]</w:t>
      </w:r>
      <w:r w:rsidRPr="00E11F84">
        <w:rPr>
          <w:sz w:val="16"/>
          <w:szCs w:val="16"/>
        </w:rPr>
        <w:tab/>
        <w:t xml:space="preserve">D. Kumar, N. A. Birur, T. Baswa, S. Agarwal, and P. Harshangi, “No Free Lunch with Guardrails,” Apr. 03, 2025, </w:t>
      </w:r>
      <w:r w:rsidRPr="00E11F84">
        <w:rPr>
          <w:i/>
          <w:iCs/>
          <w:sz w:val="16"/>
          <w:szCs w:val="16"/>
        </w:rPr>
        <w:t>arXiv</w:t>
      </w:r>
      <w:r w:rsidRPr="00E11F84">
        <w:rPr>
          <w:sz w:val="16"/>
          <w:szCs w:val="16"/>
        </w:rPr>
        <w:t>: arXiv:2504.00441. doi: 10.48550/arXiv.2504.00441.</w:t>
      </w:r>
    </w:p>
    <w:p w14:paraId="22A24650" w14:textId="329711ED" w:rsidR="00154674" w:rsidRPr="00E11F84" w:rsidRDefault="001A55D7" w:rsidP="00E11F84">
      <w:pPr>
        <w:pStyle w:val="references"/>
        <w:keepLines/>
        <w:spacing w:after="20" w:line="240" w:lineRule="auto"/>
        <w:ind w:left="200" w:hanging="200"/>
      </w:pPr>
      <w:r w:rsidRPr="00E11F84">
        <w:fldChar w:fldCharType="end"/>
      </w:r>
    </w:p>
    <w:sectPr w:rsidR="00154674" w:rsidRPr="00E11F84">
      <w:type w:val="continuous"/>
      <w:pgSz w:w="11906" w:h="16838"/>
      <w:pgMar w:top="1080" w:right="907" w:bottom="1440" w:left="907"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C9D6" w14:textId="77777777" w:rsidR="00396C5E" w:rsidRDefault="00396C5E" w:rsidP="001A3B3D">
      <w:r>
        <w:separator/>
      </w:r>
    </w:p>
  </w:endnote>
  <w:endnote w:type="continuationSeparator" w:id="0">
    <w:p w14:paraId="2CC859F1" w14:textId="77777777" w:rsidR="00396C5E" w:rsidRDefault="00396C5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0D1" w14:textId="77777777" w:rsidR="00154674" w:rsidRDefault="00154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71EF" w14:textId="77777777" w:rsidR="00154674" w:rsidRDefault="00154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32276" w14:textId="77777777" w:rsidR="00396C5E" w:rsidRDefault="00396C5E" w:rsidP="001A3B3D">
      <w:r>
        <w:separator/>
      </w:r>
    </w:p>
  </w:footnote>
  <w:footnote w:type="continuationSeparator" w:id="0">
    <w:p w14:paraId="46C79015" w14:textId="77777777" w:rsidR="00396C5E" w:rsidRDefault="00396C5E"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9ED3" w14:textId="77777777" w:rsidR="00154674" w:rsidRDefault="00154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2880" w14:textId="77777777" w:rsidR="00154674" w:rsidRDefault="00154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8B3266"/>
    <w:multiLevelType w:val="hybridMultilevel"/>
    <w:tmpl w:val="76587244"/>
    <w:lvl w:ilvl="0" w:tplc="38090001">
      <w:start w:val="1"/>
      <w:numFmt w:val="bullet"/>
      <w:lvlText w:val=""/>
      <w:lvlJc w:val="left"/>
      <w:pPr>
        <w:ind w:left="630" w:hanging="360"/>
      </w:pPr>
      <w:rPr>
        <w:rFonts w:ascii="Symbol" w:hAnsi="Symbol" w:hint="default"/>
      </w:rPr>
    </w:lvl>
    <w:lvl w:ilvl="1" w:tplc="38090003" w:tentative="1">
      <w:start w:val="1"/>
      <w:numFmt w:val="bullet"/>
      <w:lvlText w:val="o"/>
      <w:lvlJc w:val="left"/>
      <w:pPr>
        <w:ind w:left="1350" w:hanging="360"/>
      </w:pPr>
      <w:rPr>
        <w:rFonts w:ascii="Courier New" w:hAnsi="Courier New" w:cs="Courier New" w:hint="default"/>
      </w:rPr>
    </w:lvl>
    <w:lvl w:ilvl="2" w:tplc="38090005" w:tentative="1">
      <w:start w:val="1"/>
      <w:numFmt w:val="bullet"/>
      <w:lvlText w:val=""/>
      <w:lvlJc w:val="left"/>
      <w:pPr>
        <w:ind w:left="2070" w:hanging="360"/>
      </w:pPr>
      <w:rPr>
        <w:rFonts w:ascii="Wingdings" w:hAnsi="Wingdings" w:hint="default"/>
      </w:rPr>
    </w:lvl>
    <w:lvl w:ilvl="3" w:tplc="38090001" w:tentative="1">
      <w:start w:val="1"/>
      <w:numFmt w:val="bullet"/>
      <w:lvlText w:val=""/>
      <w:lvlJc w:val="left"/>
      <w:pPr>
        <w:ind w:left="2790" w:hanging="360"/>
      </w:pPr>
      <w:rPr>
        <w:rFonts w:ascii="Symbol" w:hAnsi="Symbol" w:hint="default"/>
      </w:rPr>
    </w:lvl>
    <w:lvl w:ilvl="4" w:tplc="38090003" w:tentative="1">
      <w:start w:val="1"/>
      <w:numFmt w:val="bullet"/>
      <w:lvlText w:val="o"/>
      <w:lvlJc w:val="left"/>
      <w:pPr>
        <w:ind w:left="3510" w:hanging="360"/>
      </w:pPr>
      <w:rPr>
        <w:rFonts w:ascii="Courier New" w:hAnsi="Courier New" w:cs="Courier New" w:hint="default"/>
      </w:rPr>
    </w:lvl>
    <w:lvl w:ilvl="5" w:tplc="38090005" w:tentative="1">
      <w:start w:val="1"/>
      <w:numFmt w:val="bullet"/>
      <w:lvlText w:val=""/>
      <w:lvlJc w:val="left"/>
      <w:pPr>
        <w:ind w:left="4230" w:hanging="360"/>
      </w:pPr>
      <w:rPr>
        <w:rFonts w:ascii="Wingdings" w:hAnsi="Wingdings" w:hint="default"/>
      </w:rPr>
    </w:lvl>
    <w:lvl w:ilvl="6" w:tplc="38090001" w:tentative="1">
      <w:start w:val="1"/>
      <w:numFmt w:val="bullet"/>
      <w:lvlText w:val=""/>
      <w:lvlJc w:val="left"/>
      <w:pPr>
        <w:ind w:left="4950" w:hanging="360"/>
      </w:pPr>
      <w:rPr>
        <w:rFonts w:ascii="Symbol" w:hAnsi="Symbol" w:hint="default"/>
      </w:rPr>
    </w:lvl>
    <w:lvl w:ilvl="7" w:tplc="38090003" w:tentative="1">
      <w:start w:val="1"/>
      <w:numFmt w:val="bullet"/>
      <w:lvlText w:val="o"/>
      <w:lvlJc w:val="left"/>
      <w:pPr>
        <w:ind w:left="5670" w:hanging="360"/>
      </w:pPr>
      <w:rPr>
        <w:rFonts w:ascii="Courier New" w:hAnsi="Courier New" w:cs="Courier New" w:hint="default"/>
      </w:rPr>
    </w:lvl>
    <w:lvl w:ilvl="8" w:tplc="38090005" w:tentative="1">
      <w:start w:val="1"/>
      <w:numFmt w:val="bullet"/>
      <w:lvlText w:val=""/>
      <w:lvlJc w:val="left"/>
      <w:pPr>
        <w:ind w:left="639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481343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2E"/>
    <w:rsid w:val="00007210"/>
    <w:rsid w:val="00011ECA"/>
    <w:rsid w:val="00034A2C"/>
    <w:rsid w:val="0004781E"/>
    <w:rsid w:val="0006487F"/>
    <w:rsid w:val="00066F76"/>
    <w:rsid w:val="0007399E"/>
    <w:rsid w:val="0008758A"/>
    <w:rsid w:val="000A4C1F"/>
    <w:rsid w:val="000A6DD4"/>
    <w:rsid w:val="000B700C"/>
    <w:rsid w:val="000C1E68"/>
    <w:rsid w:val="000C50C8"/>
    <w:rsid w:val="000D534A"/>
    <w:rsid w:val="000D670A"/>
    <w:rsid w:val="000D71FA"/>
    <w:rsid w:val="000E785D"/>
    <w:rsid w:val="000F256B"/>
    <w:rsid w:val="001154F2"/>
    <w:rsid w:val="00154674"/>
    <w:rsid w:val="001549DF"/>
    <w:rsid w:val="001552A7"/>
    <w:rsid w:val="001607F5"/>
    <w:rsid w:val="00193B16"/>
    <w:rsid w:val="00195F94"/>
    <w:rsid w:val="001A2EFD"/>
    <w:rsid w:val="001A3B3D"/>
    <w:rsid w:val="001A55D7"/>
    <w:rsid w:val="001B1CF6"/>
    <w:rsid w:val="001B67DC"/>
    <w:rsid w:val="001C123D"/>
    <w:rsid w:val="001D0C1E"/>
    <w:rsid w:val="001E07A3"/>
    <w:rsid w:val="001F5B29"/>
    <w:rsid w:val="0022274A"/>
    <w:rsid w:val="002254A9"/>
    <w:rsid w:val="00233D97"/>
    <w:rsid w:val="002347A2"/>
    <w:rsid w:val="00240142"/>
    <w:rsid w:val="0024322C"/>
    <w:rsid w:val="00251D34"/>
    <w:rsid w:val="00262675"/>
    <w:rsid w:val="00263255"/>
    <w:rsid w:val="002669BE"/>
    <w:rsid w:val="002734D4"/>
    <w:rsid w:val="002850E3"/>
    <w:rsid w:val="00285AFB"/>
    <w:rsid w:val="00291A97"/>
    <w:rsid w:val="00291B93"/>
    <w:rsid w:val="00296438"/>
    <w:rsid w:val="002A0B09"/>
    <w:rsid w:val="002A4BF4"/>
    <w:rsid w:val="002B156D"/>
    <w:rsid w:val="002B4734"/>
    <w:rsid w:val="002B6968"/>
    <w:rsid w:val="002B6A08"/>
    <w:rsid w:val="002D3F10"/>
    <w:rsid w:val="002F31CB"/>
    <w:rsid w:val="00306B83"/>
    <w:rsid w:val="00306EE1"/>
    <w:rsid w:val="003318E3"/>
    <w:rsid w:val="00336225"/>
    <w:rsid w:val="00342383"/>
    <w:rsid w:val="00354FCF"/>
    <w:rsid w:val="003565FA"/>
    <w:rsid w:val="00365DD4"/>
    <w:rsid w:val="00367626"/>
    <w:rsid w:val="00372E69"/>
    <w:rsid w:val="00381762"/>
    <w:rsid w:val="00382B45"/>
    <w:rsid w:val="00386902"/>
    <w:rsid w:val="00396C5E"/>
    <w:rsid w:val="003A19E2"/>
    <w:rsid w:val="003B2B40"/>
    <w:rsid w:val="003B4E04"/>
    <w:rsid w:val="003C04AA"/>
    <w:rsid w:val="003C0B67"/>
    <w:rsid w:val="003D738A"/>
    <w:rsid w:val="003E6BE6"/>
    <w:rsid w:val="003F5A08"/>
    <w:rsid w:val="004062B9"/>
    <w:rsid w:val="00420716"/>
    <w:rsid w:val="004232A9"/>
    <w:rsid w:val="004234B1"/>
    <w:rsid w:val="00424E6C"/>
    <w:rsid w:val="004325FB"/>
    <w:rsid w:val="0044144D"/>
    <w:rsid w:val="00441BA2"/>
    <w:rsid w:val="004432BA"/>
    <w:rsid w:val="0044407E"/>
    <w:rsid w:val="00447BB9"/>
    <w:rsid w:val="00447C57"/>
    <w:rsid w:val="00455117"/>
    <w:rsid w:val="0046031D"/>
    <w:rsid w:val="00463C60"/>
    <w:rsid w:val="00472EDD"/>
    <w:rsid w:val="00473AC9"/>
    <w:rsid w:val="00474810"/>
    <w:rsid w:val="004754FC"/>
    <w:rsid w:val="004822B7"/>
    <w:rsid w:val="004B3D98"/>
    <w:rsid w:val="004C2198"/>
    <w:rsid w:val="004D72B5"/>
    <w:rsid w:val="004E076F"/>
    <w:rsid w:val="004E6589"/>
    <w:rsid w:val="004F658B"/>
    <w:rsid w:val="00506F4B"/>
    <w:rsid w:val="005078AB"/>
    <w:rsid w:val="0051069A"/>
    <w:rsid w:val="00516C2D"/>
    <w:rsid w:val="00517D64"/>
    <w:rsid w:val="00523171"/>
    <w:rsid w:val="00524F56"/>
    <w:rsid w:val="0052656F"/>
    <w:rsid w:val="00530D7C"/>
    <w:rsid w:val="0054160E"/>
    <w:rsid w:val="005464BF"/>
    <w:rsid w:val="00547A7D"/>
    <w:rsid w:val="00551B7F"/>
    <w:rsid w:val="00556686"/>
    <w:rsid w:val="0056610F"/>
    <w:rsid w:val="00573094"/>
    <w:rsid w:val="005733FC"/>
    <w:rsid w:val="00575BCA"/>
    <w:rsid w:val="0059061E"/>
    <w:rsid w:val="005955EC"/>
    <w:rsid w:val="005A2AAD"/>
    <w:rsid w:val="005A6262"/>
    <w:rsid w:val="005B0344"/>
    <w:rsid w:val="005B520E"/>
    <w:rsid w:val="005C4F47"/>
    <w:rsid w:val="005C5B73"/>
    <w:rsid w:val="005E043A"/>
    <w:rsid w:val="005E2800"/>
    <w:rsid w:val="005E4165"/>
    <w:rsid w:val="005F3AB5"/>
    <w:rsid w:val="00603AFC"/>
    <w:rsid w:val="00605825"/>
    <w:rsid w:val="00613FF6"/>
    <w:rsid w:val="00614486"/>
    <w:rsid w:val="00622CCF"/>
    <w:rsid w:val="00625449"/>
    <w:rsid w:val="00635EB9"/>
    <w:rsid w:val="00645D22"/>
    <w:rsid w:val="00650010"/>
    <w:rsid w:val="00651A08"/>
    <w:rsid w:val="00652C5C"/>
    <w:rsid w:val="00654204"/>
    <w:rsid w:val="00670434"/>
    <w:rsid w:val="00680C7A"/>
    <w:rsid w:val="0069149D"/>
    <w:rsid w:val="00692A85"/>
    <w:rsid w:val="00693DDC"/>
    <w:rsid w:val="00696190"/>
    <w:rsid w:val="0069625D"/>
    <w:rsid w:val="006A5D82"/>
    <w:rsid w:val="006B0F1F"/>
    <w:rsid w:val="006B6B66"/>
    <w:rsid w:val="006B7811"/>
    <w:rsid w:val="006C4B3B"/>
    <w:rsid w:val="006D0ECF"/>
    <w:rsid w:val="006E1179"/>
    <w:rsid w:val="006E58D9"/>
    <w:rsid w:val="006F221C"/>
    <w:rsid w:val="006F287F"/>
    <w:rsid w:val="006F5AF5"/>
    <w:rsid w:val="006F6302"/>
    <w:rsid w:val="006F6D3D"/>
    <w:rsid w:val="006F7705"/>
    <w:rsid w:val="007122C4"/>
    <w:rsid w:val="00715BEA"/>
    <w:rsid w:val="0073210A"/>
    <w:rsid w:val="00740EEA"/>
    <w:rsid w:val="00747EAD"/>
    <w:rsid w:val="0075124A"/>
    <w:rsid w:val="0075546C"/>
    <w:rsid w:val="007706BB"/>
    <w:rsid w:val="00770CCF"/>
    <w:rsid w:val="00775BBD"/>
    <w:rsid w:val="007769A6"/>
    <w:rsid w:val="00785E7B"/>
    <w:rsid w:val="0078662C"/>
    <w:rsid w:val="00794804"/>
    <w:rsid w:val="007948E4"/>
    <w:rsid w:val="00796BDA"/>
    <w:rsid w:val="0079778F"/>
    <w:rsid w:val="007A38FA"/>
    <w:rsid w:val="007B33F1"/>
    <w:rsid w:val="007B6DDA"/>
    <w:rsid w:val="007B7067"/>
    <w:rsid w:val="007C0308"/>
    <w:rsid w:val="007C2FF2"/>
    <w:rsid w:val="007D6232"/>
    <w:rsid w:val="007E1836"/>
    <w:rsid w:val="007E58BE"/>
    <w:rsid w:val="007F1F99"/>
    <w:rsid w:val="007F20A9"/>
    <w:rsid w:val="007F768F"/>
    <w:rsid w:val="0080791D"/>
    <w:rsid w:val="008147B5"/>
    <w:rsid w:val="00822F15"/>
    <w:rsid w:val="00825672"/>
    <w:rsid w:val="00836367"/>
    <w:rsid w:val="0083671E"/>
    <w:rsid w:val="008371F8"/>
    <w:rsid w:val="008400DF"/>
    <w:rsid w:val="008447C7"/>
    <w:rsid w:val="00846E79"/>
    <w:rsid w:val="0085200C"/>
    <w:rsid w:val="0086611A"/>
    <w:rsid w:val="00873603"/>
    <w:rsid w:val="00890F9A"/>
    <w:rsid w:val="00891271"/>
    <w:rsid w:val="008A2C7D"/>
    <w:rsid w:val="008A784B"/>
    <w:rsid w:val="008B40CA"/>
    <w:rsid w:val="008B6524"/>
    <w:rsid w:val="008B6F86"/>
    <w:rsid w:val="008B7CED"/>
    <w:rsid w:val="008C40B7"/>
    <w:rsid w:val="008C4B23"/>
    <w:rsid w:val="008D121F"/>
    <w:rsid w:val="008F1957"/>
    <w:rsid w:val="008F51CB"/>
    <w:rsid w:val="008F62F1"/>
    <w:rsid w:val="008F6E2C"/>
    <w:rsid w:val="008F6F5F"/>
    <w:rsid w:val="00904B89"/>
    <w:rsid w:val="00910FE5"/>
    <w:rsid w:val="00915E0C"/>
    <w:rsid w:val="0091609E"/>
    <w:rsid w:val="00917017"/>
    <w:rsid w:val="00924E74"/>
    <w:rsid w:val="009303D9"/>
    <w:rsid w:val="00933C64"/>
    <w:rsid w:val="00951D98"/>
    <w:rsid w:val="00961C97"/>
    <w:rsid w:val="00965E00"/>
    <w:rsid w:val="00972203"/>
    <w:rsid w:val="00990A93"/>
    <w:rsid w:val="009A09FC"/>
    <w:rsid w:val="009A1DFD"/>
    <w:rsid w:val="009B06B6"/>
    <w:rsid w:val="009C357C"/>
    <w:rsid w:val="009C4798"/>
    <w:rsid w:val="009C500A"/>
    <w:rsid w:val="009D0313"/>
    <w:rsid w:val="009D61D8"/>
    <w:rsid w:val="009E2CCD"/>
    <w:rsid w:val="009E37B6"/>
    <w:rsid w:val="009E463E"/>
    <w:rsid w:val="009E7885"/>
    <w:rsid w:val="009E7DB5"/>
    <w:rsid w:val="009F1D79"/>
    <w:rsid w:val="009F2BB9"/>
    <w:rsid w:val="00A021A0"/>
    <w:rsid w:val="00A059B3"/>
    <w:rsid w:val="00A06A21"/>
    <w:rsid w:val="00A074D8"/>
    <w:rsid w:val="00A243DE"/>
    <w:rsid w:val="00A31F59"/>
    <w:rsid w:val="00A469D3"/>
    <w:rsid w:val="00A51CBC"/>
    <w:rsid w:val="00A57946"/>
    <w:rsid w:val="00A6285C"/>
    <w:rsid w:val="00A773E3"/>
    <w:rsid w:val="00A8602F"/>
    <w:rsid w:val="00A91153"/>
    <w:rsid w:val="00AA40E2"/>
    <w:rsid w:val="00AA4A8D"/>
    <w:rsid w:val="00AA65F9"/>
    <w:rsid w:val="00AE3409"/>
    <w:rsid w:val="00AE3AA1"/>
    <w:rsid w:val="00AF2376"/>
    <w:rsid w:val="00AF3F11"/>
    <w:rsid w:val="00B02EAF"/>
    <w:rsid w:val="00B0549F"/>
    <w:rsid w:val="00B11A60"/>
    <w:rsid w:val="00B12635"/>
    <w:rsid w:val="00B146D1"/>
    <w:rsid w:val="00B1740A"/>
    <w:rsid w:val="00B22613"/>
    <w:rsid w:val="00B22749"/>
    <w:rsid w:val="00B27A2D"/>
    <w:rsid w:val="00B44A76"/>
    <w:rsid w:val="00B5342B"/>
    <w:rsid w:val="00B62B5D"/>
    <w:rsid w:val="00B67110"/>
    <w:rsid w:val="00B768D1"/>
    <w:rsid w:val="00B834D0"/>
    <w:rsid w:val="00B8473C"/>
    <w:rsid w:val="00B85A10"/>
    <w:rsid w:val="00B90066"/>
    <w:rsid w:val="00B95AF0"/>
    <w:rsid w:val="00BA1025"/>
    <w:rsid w:val="00BA1433"/>
    <w:rsid w:val="00BA1D83"/>
    <w:rsid w:val="00BA393B"/>
    <w:rsid w:val="00BC3420"/>
    <w:rsid w:val="00BC3587"/>
    <w:rsid w:val="00BD0BD6"/>
    <w:rsid w:val="00BD5E3A"/>
    <w:rsid w:val="00BD670B"/>
    <w:rsid w:val="00BE3585"/>
    <w:rsid w:val="00BE7D3C"/>
    <w:rsid w:val="00BF3434"/>
    <w:rsid w:val="00BF5FF6"/>
    <w:rsid w:val="00C0207F"/>
    <w:rsid w:val="00C1016F"/>
    <w:rsid w:val="00C10714"/>
    <w:rsid w:val="00C12637"/>
    <w:rsid w:val="00C16117"/>
    <w:rsid w:val="00C17FCF"/>
    <w:rsid w:val="00C23CFC"/>
    <w:rsid w:val="00C24063"/>
    <w:rsid w:val="00C25761"/>
    <w:rsid w:val="00C3075A"/>
    <w:rsid w:val="00C31299"/>
    <w:rsid w:val="00C616E9"/>
    <w:rsid w:val="00C70297"/>
    <w:rsid w:val="00C73FA6"/>
    <w:rsid w:val="00C7520B"/>
    <w:rsid w:val="00C856E3"/>
    <w:rsid w:val="00C85D1F"/>
    <w:rsid w:val="00C86DA3"/>
    <w:rsid w:val="00C919A4"/>
    <w:rsid w:val="00CA4392"/>
    <w:rsid w:val="00CC393F"/>
    <w:rsid w:val="00CC459F"/>
    <w:rsid w:val="00CE4DC8"/>
    <w:rsid w:val="00CE5F90"/>
    <w:rsid w:val="00D01DC8"/>
    <w:rsid w:val="00D038D9"/>
    <w:rsid w:val="00D06A84"/>
    <w:rsid w:val="00D06BFC"/>
    <w:rsid w:val="00D0723B"/>
    <w:rsid w:val="00D15B6E"/>
    <w:rsid w:val="00D2176E"/>
    <w:rsid w:val="00D22309"/>
    <w:rsid w:val="00D34C79"/>
    <w:rsid w:val="00D45CA8"/>
    <w:rsid w:val="00D537A1"/>
    <w:rsid w:val="00D632BE"/>
    <w:rsid w:val="00D72183"/>
    <w:rsid w:val="00D72D06"/>
    <w:rsid w:val="00D7522C"/>
    <w:rsid w:val="00D7536F"/>
    <w:rsid w:val="00D76668"/>
    <w:rsid w:val="00D76975"/>
    <w:rsid w:val="00D93000"/>
    <w:rsid w:val="00DB6548"/>
    <w:rsid w:val="00DC0733"/>
    <w:rsid w:val="00DC16B0"/>
    <w:rsid w:val="00DD36F0"/>
    <w:rsid w:val="00DD5C4F"/>
    <w:rsid w:val="00DF0C5A"/>
    <w:rsid w:val="00DF51C2"/>
    <w:rsid w:val="00E04339"/>
    <w:rsid w:val="00E05F93"/>
    <w:rsid w:val="00E07383"/>
    <w:rsid w:val="00E11F84"/>
    <w:rsid w:val="00E165BC"/>
    <w:rsid w:val="00E17396"/>
    <w:rsid w:val="00E30610"/>
    <w:rsid w:val="00E33BC0"/>
    <w:rsid w:val="00E3588F"/>
    <w:rsid w:val="00E36546"/>
    <w:rsid w:val="00E47F41"/>
    <w:rsid w:val="00E50A60"/>
    <w:rsid w:val="00E60D30"/>
    <w:rsid w:val="00E61E12"/>
    <w:rsid w:val="00E62508"/>
    <w:rsid w:val="00E67C15"/>
    <w:rsid w:val="00E74BC7"/>
    <w:rsid w:val="00E7558B"/>
    <w:rsid w:val="00E7596C"/>
    <w:rsid w:val="00E76E6F"/>
    <w:rsid w:val="00E840DA"/>
    <w:rsid w:val="00E878F2"/>
    <w:rsid w:val="00E96886"/>
    <w:rsid w:val="00EA0445"/>
    <w:rsid w:val="00EA1C29"/>
    <w:rsid w:val="00EA3CAB"/>
    <w:rsid w:val="00EA78F5"/>
    <w:rsid w:val="00EB1D87"/>
    <w:rsid w:val="00EB6A48"/>
    <w:rsid w:val="00EC7FD4"/>
    <w:rsid w:val="00ED0149"/>
    <w:rsid w:val="00EE1EF3"/>
    <w:rsid w:val="00EF3CD7"/>
    <w:rsid w:val="00EF7DE3"/>
    <w:rsid w:val="00F024F6"/>
    <w:rsid w:val="00F03103"/>
    <w:rsid w:val="00F12111"/>
    <w:rsid w:val="00F12168"/>
    <w:rsid w:val="00F14677"/>
    <w:rsid w:val="00F167BC"/>
    <w:rsid w:val="00F233A4"/>
    <w:rsid w:val="00F23882"/>
    <w:rsid w:val="00F271DE"/>
    <w:rsid w:val="00F30DCF"/>
    <w:rsid w:val="00F332DC"/>
    <w:rsid w:val="00F36CBF"/>
    <w:rsid w:val="00F3762E"/>
    <w:rsid w:val="00F37BA8"/>
    <w:rsid w:val="00F44A73"/>
    <w:rsid w:val="00F53D34"/>
    <w:rsid w:val="00F61298"/>
    <w:rsid w:val="00F61A76"/>
    <w:rsid w:val="00F627DA"/>
    <w:rsid w:val="00F70191"/>
    <w:rsid w:val="00F7288F"/>
    <w:rsid w:val="00F847A6"/>
    <w:rsid w:val="00F876FD"/>
    <w:rsid w:val="00F905A2"/>
    <w:rsid w:val="00F9441B"/>
    <w:rsid w:val="00F95633"/>
    <w:rsid w:val="00FA4C32"/>
    <w:rsid w:val="00FA5CB1"/>
    <w:rsid w:val="00FB5B53"/>
    <w:rsid w:val="00FB7B57"/>
    <w:rsid w:val="00FC21B0"/>
    <w:rsid w:val="00FC3CE1"/>
    <w:rsid w:val="00FC3DD8"/>
    <w:rsid w:val="00FC5412"/>
    <w:rsid w:val="00FC7F9D"/>
    <w:rsid w:val="00FD22C3"/>
    <w:rsid w:val="00FE29B9"/>
    <w:rsid w:val="00FE3138"/>
    <w:rsid w:val="00FE7114"/>
    <w:rsid w:val="00FF2FAC"/>
    <w:rsid w:val="00FF3D89"/>
    <w:rsid w:val="00FF4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28" w:lineRule="exact"/>
      <w:ind w:firstLine="288"/>
      <w:jc w:val="both"/>
    </w:pPr>
    <w:rPr>
      <w:color w:val="000000"/>
    </w:rPr>
  </w:style>
  <w:style w:type="paragraph" w:styleId="Heading1">
    <w:name w:val="heading 1"/>
    <w:basedOn w:val="Normal"/>
    <w:next w:val="Normal"/>
    <w:qFormat/>
    <w:rsid w:val="006B6B66"/>
    <w:pPr>
      <w:keepNext/>
      <w:keepLines/>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tabs>
        <w:tab w:val="num" w:pos="288"/>
      </w:tabs>
      <w:spacing w:before="120" w:after="60"/>
      <w:ind w:firstLine="0"/>
      <w:jc w:val="left"/>
      <w:outlineLvl w:val="1"/>
    </w:pPr>
    <w:rPr>
      <w:i/>
      <w:iCs/>
      <w:noProof/>
    </w:rPr>
  </w:style>
  <w:style w:type="paragraph" w:styleId="Heading3">
    <w:name w:val="heading 3"/>
    <w:basedOn w:val="Normal"/>
    <w:next w:val="Normal"/>
    <w:qFormat/>
    <w:rsid w:val="00794804"/>
    <w:pPr>
      <w:spacing w:line="240" w:lineRule="exact"/>
      <w:outlineLvl w:val="2"/>
    </w:pPr>
    <w:rPr>
      <w:i/>
      <w:iCs/>
      <w:noProof/>
    </w:rPr>
  </w:style>
  <w:style w:type="paragraph" w:styleId="Heading4">
    <w:name w:val="heading 4"/>
    <w:basedOn w:val="Normal"/>
    <w:next w:val="Normal"/>
    <w:qFormat/>
    <w:rsid w:val="00794804"/>
    <w:pPr>
      <w:tabs>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color w:val="000000"/>
      <w:sz w:val="18"/>
      <w:szCs w:val="18"/>
    </w:rPr>
  </w:style>
  <w:style w:type="paragraph" w:customStyle="1" w:styleId="Affiliation">
    <w:name w:val="Affiliation"/>
    <w:pPr>
      <w:jc w:val="center"/>
    </w:pPr>
    <w:rPr>
      <w:color w:val="000000"/>
      <w:sz w:val="22"/>
    </w:rPr>
  </w:style>
  <w:style w:type="paragraph" w:customStyle="1" w:styleId="Author">
    <w:name w:val="Author"/>
    <w:pPr>
      <w:spacing w:before="360" w:after="40"/>
      <w:jc w:val="center"/>
    </w:pPr>
    <w:rPr>
      <w:noProof/>
      <w:color w:val="000000"/>
      <w:sz w:val="22"/>
      <w:szCs w:val="22"/>
    </w:rPr>
  </w:style>
  <w:style w:type="paragraph" w:styleId="BodyText">
    <w:name w:val="Body Text"/>
    <w:basedOn w:val="Normal"/>
    <w:link w:val="BodyTextChar"/>
    <w:rsid w:val="00E7596C"/>
    <w:pPr>
      <w:tabs>
        <w:tab w:val="left" w:pos="288"/>
      </w:tabs>
      <w:spacing w:line="228" w:lineRule="auto"/>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cs="Symbol"/>
    </w:rPr>
  </w:style>
  <w:style w:type="paragraph" w:customStyle="1" w:styleId="figurecaption">
    <w:name w:val="figure caption"/>
    <w:rsid w:val="005B0344"/>
    <w:pPr>
      <w:tabs>
        <w:tab w:val="left" w:pos="533"/>
      </w:tabs>
      <w:spacing w:before="80" w:after="200"/>
      <w:jc w:val="both"/>
    </w:pPr>
    <w:rPr>
      <w:noProof/>
      <w:color w:val="000000"/>
      <w:sz w:val="16"/>
      <w:szCs w:val="16"/>
    </w:rPr>
  </w:style>
  <w:style w:type="paragraph" w:customStyle="1" w:styleId="footnote">
    <w:name w:val="footnote"/>
    <w:pPr>
      <w:framePr w:hSpace="187" w:vSpace="187" w:wrap="notBeside" w:vAnchor="text" w:hAnchor="page" w:x="6121" w:y="577"/>
      <w:spacing w:after="40"/>
    </w:pPr>
    <w:rPr>
      <w:color w:val="000000"/>
      <w:sz w:val="16"/>
      <w:szCs w:val="16"/>
    </w:rPr>
  </w:style>
  <w:style w:type="paragraph" w:customStyle="1" w:styleId="papersubtitle">
    <w:name w:val="paper subtitle"/>
    <w:pPr>
      <w:spacing w:after="120"/>
      <w:jc w:val="center"/>
    </w:pPr>
    <w:rPr>
      <w:rFonts w:eastAsia="MS Mincho"/>
      <w:noProof/>
      <w:color w:val="000000"/>
      <w:sz w:val="28"/>
      <w:szCs w:val="28"/>
    </w:rPr>
  </w:style>
  <w:style w:type="paragraph" w:customStyle="1" w:styleId="papertitle">
    <w:name w:val="paper title"/>
    <w:pPr>
      <w:spacing w:after="120"/>
      <w:jc w:val="center"/>
    </w:pPr>
    <w:rPr>
      <w:rFonts w:eastAsia="MS Mincho"/>
      <w:noProof/>
      <w:color w:val="000000"/>
      <w:sz w:val="48"/>
      <w:szCs w:val="48"/>
    </w:rPr>
  </w:style>
  <w:style w:type="paragraph" w:customStyle="1" w:styleId="references">
    <w:name w:val="references"/>
    <w:pPr>
      <w:spacing w:after="50" w:line="180" w:lineRule="exact"/>
      <w:jc w:val="both"/>
    </w:pPr>
    <w:rPr>
      <w:rFonts w:eastAsia="MS Mincho"/>
      <w:noProof/>
      <w:color w:val="000000"/>
      <w:sz w:val="16"/>
      <w:szCs w:val="16"/>
    </w:rPr>
  </w:style>
  <w:style w:type="paragraph" w:customStyle="1" w:styleId="sponsors">
    <w:name w:val="sponsors"/>
    <w:pPr>
      <w:framePr w:wrap="auto" w:hAnchor="text" w:x="615" w:y="2239"/>
      <w:ind w:firstLine="288"/>
    </w:pPr>
    <w:rPr>
      <w:color w:val="000000"/>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color w:val="000000"/>
      <w:sz w:val="16"/>
      <w:szCs w:val="16"/>
    </w:rPr>
  </w:style>
  <w:style w:type="paragraph" w:customStyle="1" w:styleId="tablefootnote">
    <w:name w:val="table footnote"/>
    <w:rsid w:val="005E2800"/>
    <w:pPr>
      <w:spacing w:before="60" w:after="30"/>
      <w:ind w:left="58" w:hanging="29"/>
      <w:jc w:val="right"/>
    </w:pPr>
    <w:rPr>
      <w:color w:val="000000"/>
      <w:sz w:val="12"/>
      <w:szCs w:val="12"/>
    </w:rPr>
  </w:style>
  <w:style w:type="paragraph" w:customStyle="1" w:styleId="tablehead">
    <w:name w:val="table head"/>
    <w:pPr>
      <w:spacing w:before="240" w:after="120" w:line="216" w:lineRule="auto"/>
      <w:jc w:val="center"/>
    </w:pPr>
    <w:rPr>
      <w:smallCaps/>
      <w:noProof/>
      <w:color w:val="000000"/>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ibliography">
    <w:name w:val="Bibliography"/>
    <w:basedOn w:val="Normal"/>
    <w:next w:val="Normal"/>
    <w:uiPriority w:val="37"/>
    <w:unhideWhenUsed/>
    <w:rsid w:val="001A55D7"/>
    <w:pPr>
      <w:tabs>
        <w:tab w:val="left" w:pos="504"/>
      </w:tabs>
      <w:spacing w:after="0" w:line="240" w:lineRule="exact"/>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7</Pages>
  <Words>4610</Words>
  <Characters>81768</Characters>
  <Application>Microsoft Office Word</Application>
  <DocSecurity>0</DocSecurity>
  <Lines>681</Lines>
  <Paragraphs>172</Paragraphs>
  <ScaleCrop>false</ScaleCrop>
  <HeadingPairs>
    <vt:vector size="2" baseType="variant">
      <vt:variant>
        <vt:lpstr>Title</vt:lpstr>
      </vt:variant>
      <vt:variant>
        <vt:i4>1</vt:i4>
      </vt:variant>
    </vt:vector>
  </HeadingPairs>
  <TitlesOfParts>
    <vt:vector size="1" baseType="lpstr">
      <vt:lpstr>Orkestrasi LLM Berbasis Payload-Aware Attack Knowledge Graph untuk Penetration Testing Otonom: Evaluasi Komparatif pada DVWA</vt:lpstr>
    </vt:vector>
  </TitlesOfParts>
  <Company/>
  <LinksUpToDate>false</LinksUpToDate>
  <CharactersWithSpaces>86206</CharactersWithSpaces>
  <SharedDoc>false</SharedDoc>
  <HyperlinksChanged>false</HyperlinksChanged>
  <AppVersion>16.0000</AppVersion>
</Properties>
</file>

<file path=docProps/app0.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Orkestrasi LLM Berbasis Payload-Aware Attack Knowledge Graph untuk Penetration Testing Otonom: Evaluasi Komparatif pada DVWA</dc:title>
  <dc:subject/>
  <dc:creator>Kevin Purnomo; Aditya Kurniawan</dc:creator>
  <cp:keywords/>
  <cp:lastModifiedBy>KEVIN PURNOMO</cp:lastModifiedBy>
  <cp:revision>338</cp:revision>
  <dcterms:created xsi:type="dcterms:W3CDTF">2024-07-16T13:42:00Z</dcterms:created>
  <dcterms:modified xsi:type="dcterms:W3CDTF">2026-10-30T06:32:00Z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id="jx7PEsE2"/&gt;&lt;style id="http://www.zotero.org/styles/ieee" locale="en-US" hasBibliography="1" bibliographyStyleHasBeenSet="1"/&gt;&lt;prefs&gt;&lt;pref name="fieldType" value="Field"/&gt;&lt;/prefs&gt;&lt;/data&gt;</vt:lpwstr>
  </property>
</Properties>
</file>