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37FBE" w14:textId="77777777" w:rsidR="00A47367" w:rsidRDefault="00A47367">
      <w:pPr>
        <w:rPr>
          <w:noProof/>
        </w:rPr>
      </w:pPr>
    </w:p>
    <w:p w14:paraId="558E41CF" w14:textId="0EF15CD8" w:rsidR="00E14577" w:rsidRDefault="00E14577">
      <w:r w:rsidRPr="00465AC6">
        <w:rPr>
          <w:noProof/>
        </w:rPr>
        <w:drawing>
          <wp:anchor distT="0" distB="0" distL="114300" distR="114300" simplePos="0" relativeHeight="251659264" behindDoc="1" locked="1" layoutInCell="1" allowOverlap="1" wp14:anchorId="1E2B87A7" wp14:editId="1B06E94F">
            <wp:simplePos x="0" y="0"/>
            <wp:positionH relativeFrom="column">
              <wp:posOffset>-733425</wp:posOffset>
            </wp:positionH>
            <wp:positionV relativeFrom="paragraph">
              <wp:posOffset>-2258695</wp:posOffset>
            </wp:positionV>
            <wp:extent cx="7772400" cy="100584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rotWithShape="1">
                    <a:blip r:embed="rId11" cstate="print">
                      <a:extLst>
                        <a:ext uri="{28A0092B-C50C-407E-A947-70E740481C1C}">
                          <a14:useLocalDpi xmlns:a14="http://schemas.microsoft.com/office/drawing/2010/main" val="0"/>
                        </a:ext>
                      </a:extLst>
                    </a:blip>
                    <a:srcRect l="11" r="11"/>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Pr="00465AC6">
        <w:rPr>
          <w:noProof/>
        </w:rPr>
        <mc:AlternateContent>
          <mc:Choice Requires="wps">
            <w:drawing>
              <wp:anchor distT="0" distB="0" distL="114300" distR="114300" simplePos="0" relativeHeight="251660288" behindDoc="1" locked="1" layoutInCell="1" allowOverlap="1" wp14:anchorId="1F1258E8" wp14:editId="25EB3A51">
                <wp:simplePos x="0" y="0"/>
                <wp:positionH relativeFrom="page">
                  <wp:align>left</wp:align>
                </wp:positionH>
                <wp:positionV relativeFrom="paragraph">
                  <wp:posOffset>274320</wp:posOffset>
                </wp:positionV>
                <wp:extent cx="7230110" cy="4023360"/>
                <wp:effectExtent l="0" t="0" r="8890" b="0"/>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30110" cy="402336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506BE" id="Rectangle 2" o:spid="_x0000_s1026" alt="&quot;&quot;" style="position:absolute;margin-left:0;margin-top:21.6pt;width:569.3pt;height:316.8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" fillcolor="#fde700 [3206]" stroked="f" strokeweight="1pt">
                <w10:wrap anchorx="page"/>
                <w10:anchorlock/>
              </v:rect>
            </w:pict>
          </mc:Fallback>
        </mc:AlternateContent>
      </w:r>
    </w:p>
    <w:tbl>
      <w:tblPr>
        <w:tblStyle w:val="TableGrid"/>
        <w:tblpPr w:leftFromText="180" w:rightFromText="180" w:horzAnchor="page" w:tblpX="692"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9"/>
        <w:gridCol w:w="3005"/>
      </w:tblGrid>
      <w:tr w:rsidR="00A73656" w14:paraId="66D79A3A" w14:textId="77777777" w:rsidTr="00E47121">
        <w:trPr>
          <w:trHeight w:val="2106"/>
        </w:trPr>
        <w:tc>
          <w:tcPr>
            <w:tcW w:w="6669" w:type="dxa"/>
            <w:tcMar>
              <w:top w:w="576" w:type="dxa"/>
              <w:left w:w="115" w:type="dxa"/>
              <w:right w:w="115" w:type="dxa"/>
            </w:tcMar>
          </w:tcPr>
          <w:p w14:paraId="0248A91B" w14:textId="0D321175" w:rsidR="00E47121" w:rsidRDefault="00E47121" w:rsidP="00E47121">
            <w:pPr>
              <w:pStyle w:val="Title"/>
            </w:pPr>
            <w:r w:rsidRPr="00E47121">
              <w:t>NIGERIA STOCK MARKE</w:t>
            </w:r>
            <w:r>
              <w:t xml:space="preserve">T </w:t>
            </w:r>
          </w:p>
          <w:p w14:paraId="4D7F8CF9" w14:textId="1C3950A3" w:rsidR="00A73656" w:rsidRDefault="00E47121" w:rsidP="00E47121">
            <w:pPr>
              <w:pStyle w:val="Title"/>
            </w:pPr>
            <w:r w:rsidRPr="00E47121">
              <w:rPr>
                <w:sz w:val="32"/>
                <w:szCs w:val="40"/>
              </w:rPr>
              <w:t>-INVESTMENT OUTLOOK AND OPPORTUNITIES</w:t>
            </w:r>
          </w:p>
        </w:tc>
        <w:tc>
          <w:tcPr>
            <w:tcW w:w="3005" w:type="dxa"/>
            <w:tcMar>
              <w:top w:w="576" w:type="dxa"/>
            </w:tcMar>
          </w:tcPr>
          <w:p w14:paraId="31500B8B" w14:textId="77777777" w:rsidR="00A73656" w:rsidRDefault="00A73656" w:rsidP="00E47121">
            <w:pPr>
              <w:spacing w:after="200"/>
            </w:pPr>
          </w:p>
        </w:tc>
      </w:tr>
    </w:tbl>
    <w:tbl>
      <w:tblPr>
        <w:tblStyle w:val="TableGrid"/>
        <w:tblpPr w:leftFromText="180" w:rightFromText="180" w:vertAnchor="page" w:horzAnchor="page" w:tblpX="697" w:tblpY="7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4"/>
      </w:tblGrid>
      <w:tr w:rsidR="00A47367" w:rsidRPr="00C96056" w14:paraId="1D3FA5D4" w14:textId="77777777" w:rsidTr="00A47367">
        <w:trPr>
          <w:trHeight w:val="1607"/>
        </w:trPr>
        <w:tc>
          <w:tcPr>
            <w:tcW w:w="9674" w:type="dxa"/>
          </w:tcPr>
          <w:p w14:paraId="0BC29A02" w14:textId="77777777" w:rsidR="00A47367" w:rsidRDefault="00A47367" w:rsidP="00A47367">
            <w:pPr>
              <w:pStyle w:val="Heading1"/>
              <w:framePr w:hSpace="0" w:wrap="auto" w:vAnchor="margin" w:hAnchor="text" w:yAlign="inline"/>
            </w:pPr>
          </w:p>
          <w:p w14:paraId="439AF6EC" w14:textId="77777777" w:rsidR="00A47367" w:rsidRPr="0050648D" w:rsidRDefault="00A47367" w:rsidP="00A47367">
            <w:pPr>
              <w:pStyle w:val="Heading1"/>
              <w:framePr w:hSpace="0" w:wrap="auto" w:vAnchor="margin" w:hAnchor="text" w:yAlign="inline"/>
              <w:rPr>
                <w:b w:val="0"/>
                <w:bCs/>
                <w:caps w:val="0"/>
                <w:color w:val="000000" w:themeColor="text1"/>
                <w:sz w:val="22"/>
                <w:szCs w:val="24"/>
              </w:rPr>
            </w:pPr>
            <w:bookmarkStart w:id="0" w:name="_Toc201960402"/>
            <w:r w:rsidRPr="0050648D">
              <w:rPr>
                <w:b w:val="0"/>
                <w:bCs/>
                <w:caps w:val="0"/>
                <w:color w:val="000000" w:themeColor="text1"/>
                <w:sz w:val="22"/>
                <w:szCs w:val="24"/>
              </w:rPr>
              <w:t>Prepared By: Mmachi Goodness Paul -Emeka</w:t>
            </w:r>
            <w:bookmarkEnd w:id="0"/>
          </w:p>
          <w:p w14:paraId="2AFF9E6B" w14:textId="77777777" w:rsidR="00A47367" w:rsidRPr="00C66C47" w:rsidRDefault="00A47367" w:rsidP="00A47367">
            <w:pPr>
              <w:rPr>
                <w:rFonts w:asciiTheme="majorHAnsi" w:hAnsiTheme="majorHAnsi"/>
                <w:sz w:val="22"/>
                <w:szCs w:val="28"/>
              </w:rPr>
            </w:pPr>
            <w:r w:rsidRPr="00C66C47">
              <w:rPr>
                <w:rFonts w:asciiTheme="majorHAnsi" w:hAnsiTheme="majorHAnsi"/>
                <w:sz w:val="22"/>
                <w:szCs w:val="28"/>
              </w:rPr>
              <w:t>Date:28</w:t>
            </w:r>
            <w:r w:rsidRPr="00C66C47">
              <w:rPr>
                <w:rFonts w:asciiTheme="majorHAnsi" w:hAnsiTheme="majorHAnsi"/>
                <w:sz w:val="22"/>
                <w:szCs w:val="28"/>
                <w:vertAlign w:val="superscript"/>
              </w:rPr>
              <w:t>th</w:t>
            </w:r>
            <w:r w:rsidRPr="00C66C47">
              <w:rPr>
                <w:rFonts w:asciiTheme="majorHAnsi" w:hAnsiTheme="majorHAnsi"/>
                <w:sz w:val="22"/>
                <w:szCs w:val="28"/>
              </w:rPr>
              <w:t xml:space="preserve"> JUNE</w:t>
            </w:r>
          </w:p>
          <w:p w14:paraId="2B6D2AD1" w14:textId="77777777" w:rsidR="00A47367" w:rsidRDefault="00A47367" w:rsidP="00A47367">
            <w:pPr>
              <w:pStyle w:val="Heading1"/>
              <w:framePr w:hSpace="0" w:wrap="auto" w:vAnchor="margin" w:hAnchor="text" w:yAlign="inline"/>
              <w:rPr>
                <w:color w:val="0D0D0D" w:themeColor="text1" w:themeTint="F2"/>
                <w:sz w:val="24"/>
                <w:szCs w:val="24"/>
              </w:rPr>
            </w:pPr>
            <w:bookmarkStart w:id="1" w:name="_Toc201959998"/>
            <w:bookmarkStart w:id="2" w:name="_Toc201960403"/>
            <w:r w:rsidRPr="0050648D">
              <w:rPr>
                <w:color w:val="0D0D0D" w:themeColor="text1" w:themeTint="F2"/>
              </w:rPr>
              <w:t>2024 – 2025</w:t>
            </w:r>
            <w:r>
              <w:rPr>
                <w:color w:val="0D0D0D" w:themeColor="text1" w:themeTint="F2"/>
              </w:rPr>
              <w:t xml:space="preserve"> </w:t>
            </w:r>
            <w:r w:rsidRPr="0050648D">
              <w:rPr>
                <w:color w:val="0D0D0D" w:themeColor="text1" w:themeTint="F2"/>
              </w:rPr>
              <w:t>YTD</w:t>
            </w:r>
            <w:r w:rsidRPr="0050648D">
              <w:rPr>
                <w:color w:val="0D0D0D" w:themeColor="text1" w:themeTint="F2"/>
                <w:sz w:val="20"/>
                <w:szCs w:val="20"/>
              </w:rPr>
              <w:t xml:space="preserve"> </w:t>
            </w:r>
            <w:r w:rsidRPr="0050648D">
              <w:rPr>
                <w:color w:val="0D0D0D" w:themeColor="text1" w:themeTint="F2"/>
                <w:sz w:val="24"/>
                <w:szCs w:val="24"/>
              </w:rPr>
              <w:t>(I8 - MONTH PERIOD)</w:t>
            </w:r>
            <w:bookmarkEnd w:id="1"/>
            <w:bookmarkEnd w:id="2"/>
          </w:p>
          <w:p w14:paraId="16105365" w14:textId="77777777" w:rsidR="00A47367" w:rsidRDefault="00A47367" w:rsidP="00A47367"/>
          <w:p w14:paraId="0B5BF767" w14:textId="77777777" w:rsidR="00A47367" w:rsidRDefault="00A47367" w:rsidP="00A47367"/>
          <w:p w14:paraId="622ED640" w14:textId="77777777" w:rsidR="00A47367" w:rsidRDefault="00A47367" w:rsidP="00A47367"/>
          <w:p w14:paraId="39DE390E" w14:textId="77777777" w:rsidR="00A47367" w:rsidRPr="00A47367" w:rsidRDefault="00A47367" w:rsidP="00A47367"/>
        </w:tc>
      </w:tr>
    </w:tbl>
    <w:p w14:paraId="1B327455" w14:textId="77777777" w:rsidR="00A47367" w:rsidRDefault="00A47367">
      <w:r>
        <w:rPr>
          <w:b/>
          <w:caps/>
        </w:rPr>
        <w:br w:type="page"/>
      </w:r>
    </w:p>
    <w:sdt>
      <w:sdtPr>
        <w:rPr>
          <w:rFonts w:asciiTheme="minorHAnsi" w:eastAsiaTheme="minorEastAsia" w:hAnsiTheme="minorHAnsi" w:cstheme="minorBidi"/>
          <w:color w:val="000000" w:themeColor="text1"/>
          <w:sz w:val="24"/>
          <w:szCs w:val="22"/>
        </w:rPr>
        <w:id w:val="-1373918062"/>
        <w:docPartObj>
          <w:docPartGallery w:val="Table of Contents"/>
          <w:docPartUnique/>
        </w:docPartObj>
      </w:sdtPr>
      <w:sdtEndPr>
        <w:rPr>
          <w:b/>
          <w:bCs/>
          <w:noProof/>
        </w:rPr>
      </w:sdtEndPr>
      <w:sdtContent>
        <w:p w14:paraId="6CD0374D" w14:textId="2CA87E9E" w:rsidR="00C575DE" w:rsidRDefault="00C575DE">
          <w:pPr>
            <w:pStyle w:val="TOCHeading"/>
          </w:pPr>
          <w:r>
            <w:t>Table of Contents</w:t>
          </w:r>
        </w:p>
        <w:p w14:paraId="3F5BDEAF" w14:textId="26924636" w:rsidR="00C575DE" w:rsidRDefault="00C575DE" w:rsidP="00C575DE">
          <w:pPr>
            <w:pStyle w:val="TOC1"/>
            <w:tabs>
              <w:tab w:val="right" w:leader="dot" w:pos="9926"/>
            </w:tabs>
            <w:rPr>
              <w:noProof/>
              <w:color w:val="auto"/>
              <w:kern w:val="2"/>
              <w:szCs w:val="24"/>
              <w14:ligatures w14:val="standardContextual"/>
            </w:rPr>
          </w:pPr>
          <w:r>
            <w:fldChar w:fldCharType="begin"/>
          </w:r>
          <w:r>
            <w:instrText xml:space="preserve"> TOC \o "1-3" \h \z \u </w:instrText>
          </w:r>
          <w:r>
            <w:fldChar w:fldCharType="separate"/>
          </w:r>
          <w:hyperlink w:anchor="_Toc201960402" w:history="1">
            <w:r>
              <w:rPr>
                <w:rStyle w:val="Hyperlink"/>
                <w:bCs/>
                <w:noProof/>
              </w:rPr>
              <w:t>Nigeria Stock Market</w:t>
            </w:r>
            <w:r>
              <w:rPr>
                <w:noProof/>
                <w:webHidden/>
              </w:rPr>
              <w:tab/>
            </w:r>
            <w:r>
              <w:rPr>
                <w:noProof/>
                <w:webHidden/>
              </w:rPr>
              <w:fldChar w:fldCharType="begin"/>
            </w:r>
            <w:r>
              <w:rPr>
                <w:noProof/>
                <w:webHidden/>
              </w:rPr>
              <w:instrText xml:space="preserve"> PAGEREF _Toc201960402 \h </w:instrText>
            </w:r>
            <w:r>
              <w:rPr>
                <w:noProof/>
                <w:webHidden/>
              </w:rPr>
            </w:r>
            <w:r>
              <w:rPr>
                <w:noProof/>
                <w:webHidden/>
              </w:rPr>
              <w:fldChar w:fldCharType="separate"/>
            </w:r>
            <w:r>
              <w:rPr>
                <w:noProof/>
                <w:webHidden/>
              </w:rPr>
              <w:t>1</w:t>
            </w:r>
            <w:r>
              <w:rPr>
                <w:noProof/>
                <w:webHidden/>
              </w:rPr>
              <w:fldChar w:fldCharType="end"/>
            </w:r>
          </w:hyperlink>
        </w:p>
        <w:p w14:paraId="427AC04F" w14:textId="40197032" w:rsidR="00C575DE" w:rsidRDefault="00C575DE">
          <w:pPr>
            <w:pStyle w:val="TOC2"/>
            <w:tabs>
              <w:tab w:val="right" w:leader="dot" w:pos="9926"/>
            </w:tabs>
            <w:rPr>
              <w:noProof/>
              <w:color w:val="auto"/>
              <w:kern w:val="2"/>
              <w:szCs w:val="24"/>
              <w14:ligatures w14:val="standardContextual"/>
            </w:rPr>
          </w:pPr>
          <w:hyperlink w:anchor="_Toc201960404" w:history="1">
            <w:r w:rsidRPr="002603AA">
              <w:rPr>
                <w:rStyle w:val="Hyperlink"/>
                <w:noProof/>
              </w:rPr>
              <w:t>Executive summary</w:t>
            </w:r>
            <w:r>
              <w:rPr>
                <w:noProof/>
                <w:webHidden/>
              </w:rPr>
              <w:tab/>
            </w:r>
            <w:r>
              <w:rPr>
                <w:noProof/>
                <w:webHidden/>
              </w:rPr>
              <w:fldChar w:fldCharType="begin"/>
            </w:r>
            <w:r>
              <w:rPr>
                <w:noProof/>
                <w:webHidden/>
              </w:rPr>
              <w:instrText xml:space="preserve"> PAGEREF _Toc201960404 \h </w:instrText>
            </w:r>
            <w:r>
              <w:rPr>
                <w:noProof/>
                <w:webHidden/>
              </w:rPr>
            </w:r>
            <w:r>
              <w:rPr>
                <w:noProof/>
                <w:webHidden/>
              </w:rPr>
              <w:fldChar w:fldCharType="separate"/>
            </w:r>
            <w:r>
              <w:rPr>
                <w:noProof/>
                <w:webHidden/>
              </w:rPr>
              <w:t>3</w:t>
            </w:r>
            <w:r>
              <w:rPr>
                <w:noProof/>
                <w:webHidden/>
              </w:rPr>
              <w:fldChar w:fldCharType="end"/>
            </w:r>
          </w:hyperlink>
        </w:p>
        <w:p w14:paraId="7A305D47" w14:textId="21DC4387" w:rsidR="00C575DE" w:rsidRDefault="00C575DE">
          <w:pPr>
            <w:pStyle w:val="TOC2"/>
            <w:tabs>
              <w:tab w:val="right" w:leader="dot" w:pos="9926"/>
            </w:tabs>
            <w:rPr>
              <w:noProof/>
              <w:color w:val="auto"/>
              <w:kern w:val="2"/>
              <w:szCs w:val="24"/>
              <w14:ligatures w14:val="standardContextual"/>
            </w:rPr>
          </w:pPr>
          <w:hyperlink w:anchor="_Toc201960405" w:history="1">
            <w:r w:rsidRPr="002603AA">
              <w:rPr>
                <w:rStyle w:val="Hyperlink"/>
                <w:noProof/>
              </w:rPr>
              <w:t>Stock Market Overview</w:t>
            </w:r>
            <w:r>
              <w:rPr>
                <w:noProof/>
                <w:webHidden/>
              </w:rPr>
              <w:tab/>
            </w:r>
            <w:r>
              <w:rPr>
                <w:noProof/>
                <w:webHidden/>
              </w:rPr>
              <w:fldChar w:fldCharType="begin"/>
            </w:r>
            <w:r>
              <w:rPr>
                <w:noProof/>
                <w:webHidden/>
              </w:rPr>
              <w:instrText xml:space="preserve"> PAGEREF _Toc201960405 \h </w:instrText>
            </w:r>
            <w:r>
              <w:rPr>
                <w:noProof/>
                <w:webHidden/>
              </w:rPr>
            </w:r>
            <w:r>
              <w:rPr>
                <w:noProof/>
                <w:webHidden/>
              </w:rPr>
              <w:fldChar w:fldCharType="separate"/>
            </w:r>
            <w:r>
              <w:rPr>
                <w:noProof/>
                <w:webHidden/>
              </w:rPr>
              <w:t>4</w:t>
            </w:r>
            <w:r>
              <w:rPr>
                <w:noProof/>
                <w:webHidden/>
              </w:rPr>
              <w:fldChar w:fldCharType="end"/>
            </w:r>
          </w:hyperlink>
        </w:p>
        <w:p w14:paraId="2C77710B" w14:textId="0EEEB626" w:rsidR="00C575DE" w:rsidRDefault="00C575DE">
          <w:pPr>
            <w:pStyle w:val="TOC2"/>
            <w:tabs>
              <w:tab w:val="right" w:leader="dot" w:pos="9926"/>
            </w:tabs>
            <w:rPr>
              <w:noProof/>
              <w:color w:val="auto"/>
              <w:kern w:val="2"/>
              <w:szCs w:val="24"/>
              <w14:ligatures w14:val="standardContextual"/>
            </w:rPr>
          </w:pPr>
          <w:hyperlink w:anchor="_Toc201960406" w:history="1">
            <w:r w:rsidRPr="002603AA">
              <w:rPr>
                <w:rStyle w:val="Hyperlink"/>
                <w:noProof/>
              </w:rPr>
              <w:t>Stock Market Performance by Sector : 2024 vs 2025 (Trailing Six-Month Performance)</w:t>
            </w:r>
            <w:r>
              <w:rPr>
                <w:noProof/>
                <w:webHidden/>
              </w:rPr>
              <w:tab/>
            </w:r>
            <w:r>
              <w:rPr>
                <w:noProof/>
                <w:webHidden/>
              </w:rPr>
              <w:fldChar w:fldCharType="begin"/>
            </w:r>
            <w:r>
              <w:rPr>
                <w:noProof/>
                <w:webHidden/>
              </w:rPr>
              <w:instrText xml:space="preserve"> PAGEREF _Toc201960406 \h </w:instrText>
            </w:r>
            <w:r>
              <w:rPr>
                <w:noProof/>
                <w:webHidden/>
              </w:rPr>
            </w:r>
            <w:r>
              <w:rPr>
                <w:noProof/>
                <w:webHidden/>
              </w:rPr>
              <w:fldChar w:fldCharType="separate"/>
            </w:r>
            <w:r>
              <w:rPr>
                <w:noProof/>
                <w:webHidden/>
              </w:rPr>
              <w:t>5</w:t>
            </w:r>
            <w:r>
              <w:rPr>
                <w:noProof/>
                <w:webHidden/>
              </w:rPr>
              <w:fldChar w:fldCharType="end"/>
            </w:r>
          </w:hyperlink>
        </w:p>
        <w:p w14:paraId="7D387D65" w14:textId="6C330B74" w:rsidR="00C575DE" w:rsidRDefault="00C575DE">
          <w:pPr>
            <w:pStyle w:val="TOC2"/>
            <w:tabs>
              <w:tab w:val="right" w:leader="dot" w:pos="9926"/>
            </w:tabs>
            <w:rPr>
              <w:noProof/>
              <w:color w:val="auto"/>
              <w:kern w:val="2"/>
              <w:szCs w:val="24"/>
              <w14:ligatures w14:val="standardContextual"/>
            </w:rPr>
          </w:pPr>
          <w:hyperlink w:anchor="_Toc201960407" w:history="1">
            <w:r w:rsidRPr="002603AA">
              <w:rPr>
                <w:rStyle w:val="Hyperlink"/>
                <w:noProof/>
              </w:rPr>
              <w:t>Sector Performance Comparison Table</w:t>
            </w:r>
            <w:r>
              <w:rPr>
                <w:noProof/>
                <w:webHidden/>
              </w:rPr>
              <w:tab/>
            </w:r>
            <w:r>
              <w:rPr>
                <w:noProof/>
                <w:webHidden/>
              </w:rPr>
              <w:fldChar w:fldCharType="begin"/>
            </w:r>
            <w:r>
              <w:rPr>
                <w:noProof/>
                <w:webHidden/>
              </w:rPr>
              <w:instrText xml:space="preserve"> PAGEREF _Toc201960407 \h </w:instrText>
            </w:r>
            <w:r>
              <w:rPr>
                <w:noProof/>
                <w:webHidden/>
              </w:rPr>
            </w:r>
            <w:r>
              <w:rPr>
                <w:noProof/>
                <w:webHidden/>
              </w:rPr>
              <w:fldChar w:fldCharType="separate"/>
            </w:r>
            <w:r>
              <w:rPr>
                <w:noProof/>
                <w:webHidden/>
              </w:rPr>
              <w:t>5</w:t>
            </w:r>
            <w:r>
              <w:rPr>
                <w:noProof/>
                <w:webHidden/>
              </w:rPr>
              <w:fldChar w:fldCharType="end"/>
            </w:r>
          </w:hyperlink>
        </w:p>
        <w:p w14:paraId="7B2F9A0D" w14:textId="4F1EC782" w:rsidR="00C575DE" w:rsidRDefault="00C575DE">
          <w:pPr>
            <w:pStyle w:val="TOC2"/>
            <w:tabs>
              <w:tab w:val="right" w:leader="dot" w:pos="9926"/>
            </w:tabs>
            <w:rPr>
              <w:noProof/>
              <w:color w:val="auto"/>
              <w:kern w:val="2"/>
              <w:szCs w:val="24"/>
              <w14:ligatures w14:val="standardContextual"/>
            </w:rPr>
          </w:pPr>
          <w:hyperlink w:anchor="_Toc201960408" w:history="1">
            <w:r w:rsidRPr="002603AA">
              <w:rPr>
                <w:rStyle w:val="Hyperlink"/>
                <w:noProof/>
              </w:rPr>
              <w:t>Sector Performance Comparison Chart</w:t>
            </w:r>
            <w:r>
              <w:rPr>
                <w:noProof/>
                <w:webHidden/>
              </w:rPr>
              <w:tab/>
            </w:r>
            <w:r>
              <w:rPr>
                <w:noProof/>
                <w:webHidden/>
              </w:rPr>
              <w:fldChar w:fldCharType="begin"/>
            </w:r>
            <w:r>
              <w:rPr>
                <w:noProof/>
                <w:webHidden/>
              </w:rPr>
              <w:instrText xml:space="preserve"> PAGEREF _Toc201960408 \h </w:instrText>
            </w:r>
            <w:r>
              <w:rPr>
                <w:noProof/>
                <w:webHidden/>
              </w:rPr>
            </w:r>
            <w:r>
              <w:rPr>
                <w:noProof/>
                <w:webHidden/>
              </w:rPr>
              <w:fldChar w:fldCharType="separate"/>
            </w:r>
            <w:r>
              <w:rPr>
                <w:noProof/>
                <w:webHidden/>
              </w:rPr>
              <w:t>6</w:t>
            </w:r>
            <w:r>
              <w:rPr>
                <w:noProof/>
                <w:webHidden/>
              </w:rPr>
              <w:fldChar w:fldCharType="end"/>
            </w:r>
          </w:hyperlink>
        </w:p>
        <w:p w14:paraId="6C35E96B" w14:textId="163EDE4C" w:rsidR="00C575DE" w:rsidRDefault="00C575DE">
          <w:pPr>
            <w:pStyle w:val="TOC2"/>
            <w:tabs>
              <w:tab w:val="right" w:leader="dot" w:pos="9926"/>
            </w:tabs>
            <w:rPr>
              <w:noProof/>
              <w:color w:val="auto"/>
              <w:kern w:val="2"/>
              <w:szCs w:val="24"/>
              <w14:ligatures w14:val="standardContextual"/>
            </w:rPr>
          </w:pPr>
          <w:hyperlink w:anchor="_Toc201960409" w:history="1">
            <w:r w:rsidRPr="002603AA">
              <w:rPr>
                <w:rStyle w:val="Hyperlink"/>
                <w:noProof/>
              </w:rPr>
              <w:t>Professional Analysis and Key Insights</w:t>
            </w:r>
            <w:r>
              <w:rPr>
                <w:noProof/>
                <w:webHidden/>
              </w:rPr>
              <w:tab/>
            </w:r>
            <w:r>
              <w:rPr>
                <w:noProof/>
                <w:webHidden/>
              </w:rPr>
              <w:fldChar w:fldCharType="begin"/>
            </w:r>
            <w:r>
              <w:rPr>
                <w:noProof/>
                <w:webHidden/>
              </w:rPr>
              <w:instrText xml:space="preserve"> PAGEREF _Toc201960409 \h </w:instrText>
            </w:r>
            <w:r>
              <w:rPr>
                <w:noProof/>
                <w:webHidden/>
              </w:rPr>
            </w:r>
            <w:r>
              <w:rPr>
                <w:noProof/>
                <w:webHidden/>
              </w:rPr>
              <w:fldChar w:fldCharType="separate"/>
            </w:r>
            <w:r>
              <w:rPr>
                <w:noProof/>
                <w:webHidden/>
              </w:rPr>
              <w:t>6</w:t>
            </w:r>
            <w:r>
              <w:rPr>
                <w:noProof/>
                <w:webHidden/>
              </w:rPr>
              <w:fldChar w:fldCharType="end"/>
            </w:r>
          </w:hyperlink>
        </w:p>
        <w:p w14:paraId="6B48A215" w14:textId="083AD527" w:rsidR="00C575DE" w:rsidRDefault="00C575DE">
          <w:pPr>
            <w:pStyle w:val="TOC2"/>
            <w:tabs>
              <w:tab w:val="right" w:leader="dot" w:pos="9926"/>
            </w:tabs>
            <w:rPr>
              <w:noProof/>
              <w:color w:val="auto"/>
              <w:kern w:val="2"/>
              <w:szCs w:val="24"/>
              <w14:ligatures w14:val="standardContextual"/>
            </w:rPr>
          </w:pPr>
          <w:hyperlink w:anchor="_Toc201960410" w:history="1">
            <w:r w:rsidRPr="002603AA">
              <w:rPr>
                <w:rStyle w:val="Hyperlink"/>
                <w:noProof/>
              </w:rPr>
              <w:t>Key Market Trends</w:t>
            </w:r>
            <w:r>
              <w:rPr>
                <w:noProof/>
                <w:webHidden/>
              </w:rPr>
              <w:tab/>
            </w:r>
            <w:r>
              <w:rPr>
                <w:noProof/>
                <w:webHidden/>
              </w:rPr>
              <w:fldChar w:fldCharType="begin"/>
            </w:r>
            <w:r>
              <w:rPr>
                <w:noProof/>
                <w:webHidden/>
              </w:rPr>
              <w:instrText xml:space="preserve"> PAGEREF _Toc201960410 \h </w:instrText>
            </w:r>
            <w:r>
              <w:rPr>
                <w:noProof/>
                <w:webHidden/>
              </w:rPr>
            </w:r>
            <w:r>
              <w:rPr>
                <w:noProof/>
                <w:webHidden/>
              </w:rPr>
              <w:fldChar w:fldCharType="separate"/>
            </w:r>
            <w:r>
              <w:rPr>
                <w:noProof/>
                <w:webHidden/>
              </w:rPr>
              <w:t>7</w:t>
            </w:r>
            <w:r>
              <w:rPr>
                <w:noProof/>
                <w:webHidden/>
              </w:rPr>
              <w:fldChar w:fldCharType="end"/>
            </w:r>
          </w:hyperlink>
        </w:p>
        <w:p w14:paraId="5C7EF557" w14:textId="02130653" w:rsidR="00C575DE" w:rsidRDefault="00C575DE">
          <w:pPr>
            <w:pStyle w:val="TOC2"/>
            <w:tabs>
              <w:tab w:val="right" w:leader="dot" w:pos="9926"/>
            </w:tabs>
            <w:rPr>
              <w:noProof/>
              <w:color w:val="auto"/>
              <w:kern w:val="2"/>
              <w:szCs w:val="24"/>
              <w14:ligatures w14:val="standardContextual"/>
            </w:rPr>
          </w:pPr>
          <w:hyperlink w:anchor="_Toc201960411" w:history="1">
            <w:r w:rsidRPr="002603AA">
              <w:rPr>
                <w:rStyle w:val="Hyperlink"/>
                <w:noProof/>
              </w:rPr>
              <w:t>Top Performing Stocks in 2025</w:t>
            </w:r>
            <w:r>
              <w:rPr>
                <w:noProof/>
                <w:webHidden/>
              </w:rPr>
              <w:tab/>
            </w:r>
            <w:r>
              <w:rPr>
                <w:noProof/>
                <w:webHidden/>
              </w:rPr>
              <w:fldChar w:fldCharType="begin"/>
            </w:r>
            <w:r>
              <w:rPr>
                <w:noProof/>
                <w:webHidden/>
              </w:rPr>
              <w:instrText xml:space="preserve"> PAGEREF _Toc201960411 \h </w:instrText>
            </w:r>
            <w:r>
              <w:rPr>
                <w:noProof/>
                <w:webHidden/>
              </w:rPr>
            </w:r>
            <w:r>
              <w:rPr>
                <w:noProof/>
                <w:webHidden/>
              </w:rPr>
              <w:fldChar w:fldCharType="separate"/>
            </w:r>
            <w:r>
              <w:rPr>
                <w:noProof/>
                <w:webHidden/>
              </w:rPr>
              <w:t>8</w:t>
            </w:r>
            <w:r>
              <w:rPr>
                <w:noProof/>
                <w:webHidden/>
              </w:rPr>
              <w:fldChar w:fldCharType="end"/>
            </w:r>
          </w:hyperlink>
        </w:p>
        <w:p w14:paraId="0D96F23C" w14:textId="5457E4DA" w:rsidR="00C575DE" w:rsidRDefault="00C575DE">
          <w:pPr>
            <w:pStyle w:val="TOC2"/>
            <w:tabs>
              <w:tab w:val="right" w:leader="dot" w:pos="9926"/>
            </w:tabs>
            <w:rPr>
              <w:noProof/>
              <w:color w:val="auto"/>
              <w:kern w:val="2"/>
              <w:szCs w:val="24"/>
              <w14:ligatures w14:val="standardContextual"/>
            </w:rPr>
          </w:pPr>
          <w:hyperlink w:anchor="_Toc201960412" w:history="1">
            <w:r w:rsidRPr="002603AA">
              <w:rPr>
                <w:rStyle w:val="Hyperlink"/>
                <w:noProof/>
              </w:rPr>
              <w:t>Macroeconomic Overview and Stock Market Implications</w:t>
            </w:r>
            <w:r>
              <w:rPr>
                <w:noProof/>
                <w:webHidden/>
              </w:rPr>
              <w:tab/>
            </w:r>
            <w:r>
              <w:rPr>
                <w:noProof/>
                <w:webHidden/>
              </w:rPr>
              <w:fldChar w:fldCharType="begin"/>
            </w:r>
            <w:r>
              <w:rPr>
                <w:noProof/>
                <w:webHidden/>
              </w:rPr>
              <w:instrText xml:space="preserve"> PAGEREF _Toc201960412 \h </w:instrText>
            </w:r>
            <w:r>
              <w:rPr>
                <w:noProof/>
                <w:webHidden/>
              </w:rPr>
            </w:r>
            <w:r>
              <w:rPr>
                <w:noProof/>
                <w:webHidden/>
              </w:rPr>
              <w:fldChar w:fldCharType="separate"/>
            </w:r>
            <w:r>
              <w:rPr>
                <w:noProof/>
                <w:webHidden/>
              </w:rPr>
              <w:t>10</w:t>
            </w:r>
            <w:r>
              <w:rPr>
                <w:noProof/>
                <w:webHidden/>
              </w:rPr>
              <w:fldChar w:fldCharType="end"/>
            </w:r>
          </w:hyperlink>
        </w:p>
        <w:p w14:paraId="72D7A34A" w14:textId="767A4B1E" w:rsidR="00C575DE" w:rsidRDefault="00C575DE">
          <w:pPr>
            <w:pStyle w:val="TOC2"/>
            <w:tabs>
              <w:tab w:val="right" w:leader="dot" w:pos="9926"/>
            </w:tabs>
            <w:rPr>
              <w:noProof/>
              <w:color w:val="auto"/>
              <w:kern w:val="2"/>
              <w:szCs w:val="24"/>
              <w14:ligatures w14:val="standardContextual"/>
            </w:rPr>
          </w:pPr>
          <w:hyperlink w:anchor="_Toc201960413" w:history="1">
            <w:r w:rsidRPr="002603AA">
              <w:rPr>
                <w:rStyle w:val="Hyperlink"/>
                <w:noProof/>
              </w:rPr>
              <w:t>Stock Market Implications</w:t>
            </w:r>
            <w:r>
              <w:rPr>
                <w:noProof/>
                <w:webHidden/>
              </w:rPr>
              <w:tab/>
            </w:r>
            <w:r>
              <w:rPr>
                <w:noProof/>
                <w:webHidden/>
              </w:rPr>
              <w:fldChar w:fldCharType="begin"/>
            </w:r>
            <w:r>
              <w:rPr>
                <w:noProof/>
                <w:webHidden/>
              </w:rPr>
              <w:instrText xml:space="preserve"> PAGEREF _Toc201960413 \h </w:instrText>
            </w:r>
            <w:r>
              <w:rPr>
                <w:noProof/>
                <w:webHidden/>
              </w:rPr>
            </w:r>
            <w:r>
              <w:rPr>
                <w:noProof/>
                <w:webHidden/>
              </w:rPr>
              <w:fldChar w:fldCharType="separate"/>
            </w:r>
            <w:r>
              <w:rPr>
                <w:noProof/>
                <w:webHidden/>
              </w:rPr>
              <w:t>11</w:t>
            </w:r>
            <w:r>
              <w:rPr>
                <w:noProof/>
                <w:webHidden/>
              </w:rPr>
              <w:fldChar w:fldCharType="end"/>
            </w:r>
          </w:hyperlink>
        </w:p>
        <w:p w14:paraId="55A03043" w14:textId="4BE67192" w:rsidR="00C575DE" w:rsidRDefault="00C575DE">
          <w:pPr>
            <w:pStyle w:val="TOC2"/>
            <w:tabs>
              <w:tab w:val="right" w:leader="dot" w:pos="9926"/>
            </w:tabs>
            <w:rPr>
              <w:noProof/>
              <w:color w:val="auto"/>
              <w:kern w:val="2"/>
              <w:szCs w:val="24"/>
              <w14:ligatures w14:val="standardContextual"/>
            </w:rPr>
          </w:pPr>
          <w:hyperlink w:anchor="_Toc201960414" w:history="1">
            <w:r w:rsidRPr="002603AA">
              <w:rPr>
                <w:rStyle w:val="Hyperlink"/>
                <w:noProof/>
              </w:rPr>
              <w:t>Investment Opportunities</w:t>
            </w:r>
            <w:r>
              <w:rPr>
                <w:noProof/>
                <w:webHidden/>
              </w:rPr>
              <w:tab/>
            </w:r>
            <w:r>
              <w:rPr>
                <w:noProof/>
                <w:webHidden/>
              </w:rPr>
              <w:fldChar w:fldCharType="begin"/>
            </w:r>
            <w:r>
              <w:rPr>
                <w:noProof/>
                <w:webHidden/>
              </w:rPr>
              <w:instrText xml:space="preserve"> PAGEREF _Toc201960414 \h </w:instrText>
            </w:r>
            <w:r>
              <w:rPr>
                <w:noProof/>
                <w:webHidden/>
              </w:rPr>
            </w:r>
            <w:r>
              <w:rPr>
                <w:noProof/>
                <w:webHidden/>
              </w:rPr>
              <w:fldChar w:fldCharType="separate"/>
            </w:r>
            <w:r>
              <w:rPr>
                <w:noProof/>
                <w:webHidden/>
              </w:rPr>
              <w:t>11</w:t>
            </w:r>
            <w:r>
              <w:rPr>
                <w:noProof/>
                <w:webHidden/>
              </w:rPr>
              <w:fldChar w:fldCharType="end"/>
            </w:r>
          </w:hyperlink>
        </w:p>
        <w:p w14:paraId="7D686735" w14:textId="2802E60F" w:rsidR="00C575DE" w:rsidRDefault="00C575DE">
          <w:pPr>
            <w:pStyle w:val="TOC2"/>
            <w:tabs>
              <w:tab w:val="right" w:leader="dot" w:pos="9926"/>
            </w:tabs>
            <w:rPr>
              <w:noProof/>
              <w:color w:val="auto"/>
              <w:kern w:val="2"/>
              <w:szCs w:val="24"/>
              <w14:ligatures w14:val="standardContextual"/>
            </w:rPr>
          </w:pPr>
          <w:hyperlink w:anchor="_Toc201960415" w:history="1">
            <w:r w:rsidRPr="002603AA">
              <w:rPr>
                <w:rStyle w:val="Hyperlink"/>
                <w:noProof/>
              </w:rPr>
              <w:t>Key Investment Risks</w:t>
            </w:r>
            <w:r>
              <w:rPr>
                <w:noProof/>
                <w:webHidden/>
              </w:rPr>
              <w:tab/>
            </w:r>
            <w:r>
              <w:rPr>
                <w:noProof/>
                <w:webHidden/>
              </w:rPr>
              <w:fldChar w:fldCharType="begin"/>
            </w:r>
            <w:r>
              <w:rPr>
                <w:noProof/>
                <w:webHidden/>
              </w:rPr>
              <w:instrText xml:space="preserve"> PAGEREF _Toc201960415 \h </w:instrText>
            </w:r>
            <w:r>
              <w:rPr>
                <w:noProof/>
                <w:webHidden/>
              </w:rPr>
            </w:r>
            <w:r>
              <w:rPr>
                <w:noProof/>
                <w:webHidden/>
              </w:rPr>
              <w:fldChar w:fldCharType="separate"/>
            </w:r>
            <w:r>
              <w:rPr>
                <w:noProof/>
                <w:webHidden/>
              </w:rPr>
              <w:t>12</w:t>
            </w:r>
            <w:r>
              <w:rPr>
                <w:noProof/>
                <w:webHidden/>
              </w:rPr>
              <w:fldChar w:fldCharType="end"/>
            </w:r>
          </w:hyperlink>
        </w:p>
        <w:p w14:paraId="294C5989" w14:textId="4FFDB180" w:rsidR="00C575DE" w:rsidRDefault="00C575DE">
          <w:pPr>
            <w:pStyle w:val="TOC2"/>
            <w:tabs>
              <w:tab w:val="right" w:leader="dot" w:pos="9926"/>
            </w:tabs>
            <w:rPr>
              <w:noProof/>
              <w:color w:val="auto"/>
              <w:kern w:val="2"/>
              <w:szCs w:val="24"/>
              <w14:ligatures w14:val="standardContextual"/>
            </w:rPr>
          </w:pPr>
          <w:hyperlink w:anchor="_Toc201960416" w:history="1">
            <w:r w:rsidRPr="002603AA">
              <w:rPr>
                <w:rStyle w:val="Hyperlink"/>
                <w:noProof/>
              </w:rPr>
              <w:t>Strategic Recommendations</w:t>
            </w:r>
            <w:r>
              <w:rPr>
                <w:noProof/>
                <w:webHidden/>
              </w:rPr>
              <w:tab/>
            </w:r>
            <w:r>
              <w:rPr>
                <w:noProof/>
                <w:webHidden/>
              </w:rPr>
              <w:fldChar w:fldCharType="begin"/>
            </w:r>
            <w:r>
              <w:rPr>
                <w:noProof/>
                <w:webHidden/>
              </w:rPr>
              <w:instrText xml:space="preserve"> PAGEREF _Toc201960416 \h </w:instrText>
            </w:r>
            <w:r>
              <w:rPr>
                <w:noProof/>
                <w:webHidden/>
              </w:rPr>
            </w:r>
            <w:r>
              <w:rPr>
                <w:noProof/>
                <w:webHidden/>
              </w:rPr>
              <w:fldChar w:fldCharType="separate"/>
            </w:r>
            <w:r>
              <w:rPr>
                <w:noProof/>
                <w:webHidden/>
              </w:rPr>
              <w:t>12</w:t>
            </w:r>
            <w:r>
              <w:rPr>
                <w:noProof/>
                <w:webHidden/>
              </w:rPr>
              <w:fldChar w:fldCharType="end"/>
            </w:r>
          </w:hyperlink>
        </w:p>
        <w:p w14:paraId="7113AB37" w14:textId="62563EEB" w:rsidR="00C575DE" w:rsidRDefault="00C575DE">
          <w:pPr>
            <w:pStyle w:val="TOC2"/>
            <w:tabs>
              <w:tab w:val="right" w:leader="dot" w:pos="9926"/>
            </w:tabs>
            <w:rPr>
              <w:noProof/>
              <w:color w:val="auto"/>
              <w:kern w:val="2"/>
              <w:szCs w:val="24"/>
              <w14:ligatures w14:val="standardContextual"/>
            </w:rPr>
          </w:pPr>
          <w:hyperlink w:anchor="_Toc201960417" w:history="1">
            <w:r w:rsidRPr="002603AA">
              <w:rPr>
                <w:rStyle w:val="Hyperlink"/>
                <w:noProof/>
              </w:rPr>
              <w:t>Summary</w:t>
            </w:r>
            <w:r>
              <w:rPr>
                <w:noProof/>
                <w:webHidden/>
              </w:rPr>
              <w:tab/>
            </w:r>
            <w:r>
              <w:rPr>
                <w:noProof/>
                <w:webHidden/>
              </w:rPr>
              <w:fldChar w:fldCharType="begin"/>
            </w:r>
            <w:r>
              <w:rPr>
                <w:noProof/>
                <w:webHidden/>
              </w:rPr>
              <w:instrText xml:space="preserve"> PAGEREF _Toc201960417 \h </w:instrText>
            </w:r>
            <w:r>
              <w:rPr>
                <w:noProof/>
                <w:webHidden/>
              </w:rPr>
            </w:r>
            <w:r>
              <w:rPr>
                <w:noProof/>
                <w:webHidden/>
              </w:rPr>
              <w:fldChar w:fldCharType="separate"/>
            </w:r>
            <w:r>
              <w:rPr>
                <w:noProof/>
                <w:webHidden/>
              </w:rPr>
              <w:t>12</w:t>
            </w:r>
            <w:r>
              <w:rPr>
                <w:noProof/>
                <w:webHidden/>
              </w:rPr>
              <w:fldChar w:fldCharType="end"/>
            </w:r>
          </w:hyperlink>
        </w:p>
        <w:p w14:paraId="1A9C6401" w14:textId="4505FC54" w:rsidR="00C575DE" w:rsidRDefault="00C575DE">
          <w:pPr>
            <w:pStyle w:val="TOC2"/>
            <w:tabs>
              <w:tab w:val="right" w:leader="dot" w:pos="9926"/>
            </w:tabs>
            <w:rPr>
              <w:noProof/>
              <w:color w:val="auto"/>
              <w:kern w:val="2"/>
              <w:szCs w:val="24"/>
              <w14:ligatures w14:val="standardContextual"/>
            </w:rPr>
          </w:pPr>
          <w:hyperlink w:anchor="_Toc201960418" w:history="1">
            <w:r w:rsidRPr="002603AA">
              <w:rPr>
                <w:rStyle w:val="Hyperlink"/>
                <w:noProof/>
              </w:rPr>
              <w:t>References</w:t>
            </w:r>
            <w:r>
              <w:rPr>
                <w:noProof/>
                <w:webHidden/>
              </w:rPr>
              <w:tab/>
            </w:r>
            <w:r>
              <w:rPr>
                <w:noProof/>
                <w:webHidden/>
              </w:rPr>
              <w:fldChar w:fldCharType="begin"/>
            </w:r>
            <w:r>
              <w:rPr>
                <w:noProof/>
                <w:webHidden/>
              </w:rPr>
              <w:instrText xml:space="preserve"> PAGEREF _Toc201960418 \h </w:instrText>
            </w:r>
            <w:r>
              <w:rPr>
                <w:noProof/>
                <w:webHidden/>
              </w:rPr>
            </w:r>
            <w:r>
              <w:rPr>
                <w:noProof/>
                <w:webHidden/>
              </w:rPr>
              <w:fldChar w:fldCharType="separate"/>
            </w:r>
            <w:r>
              <w:rPr>
                <w:noProof/>
                <w:webHidden/>
              </w:rPr>
              <w:t>13</w:t>
            </w:r>
            <w:r>
              <w:rPr>
                <w:noProof/>
                <w:webHidden/>
              </w:rPr>
              <w:fldChar w:fldCharType="end"/>
            </w:r>
          </w:hyperlink>
        </w:p>
        <w:p w14:paraId="0AE66974" w14:textId="7CB53A20" w:rsidR="00C575DE" w:rsidRDefault="00C575DE">
          <w:r>
            <w:rPr>
              <w:b/>
              <w:bCs/>
              <w:noProof/>
            </w:rPr>
            <w:fldChar w:fldCharType="end"/>
          </w:r>
        </w:p>
      </w:sdtContent>
    </w:sdt>
    <w:p w14:paraId="2E8A9470" w14:textId="60234611" w:rsidR="00C575DE" w:rsidRDefault="00C575DE" w:rsidP="00C575DE">
      <w:pPr>
        <w:pStyle w:val="TOCHeading"/>
      </w:pPr>
    </w:p>
    <w:p w14:paraId="27BDC759" w14:textId="77777777" w:rsidR="00E14577" w:rsidRDefault="00E14577">
      <w:pPr>
        <w:spacing w:before="0" w:after="160" w:line="278" w:lineRule="auto"/>
      </w:pPr>
    </w:p>
    <w:p w14:paraId="36956465" w14:textId="77777777" w:rsidR="00A73656" w:rsidRDefault="00A73656" w:rsidP="00D41196">
      <w:pPr>
        <w:pStyle w:val="Heading2"/>
        <w:sectPr w:rsidR="00A73656" w:rsidSect="00A73656">
          <w:headerReference w:type="even" r:id="rId12"/>
          <w:headerReference w:type="default" r:id="rId13"/>
          <w:pgSz w:w="12240" w:h="15840" w:code="1"/>
          <w:pgMar w:top="4320" w:right="1152" w:bottom="720" w:left="1152" w:header="432" w:footer="144" w:gutter="0"/>
          <w:cols w:space="720"/>
          <w:docGrid w:linePitch="360"/>
        </w:sectPr>
      </w:pPr>
    </w:p>
    <w:p w14:paraId="1C393FF9" w14:textId="3BC87B7C" w:rsidR="00E14577" w:rsidRPr="00FA3251" w:rsidRDefault="00E14577" w:rsidP="00C575DE">
      <w:pPr>
        <w:pStyle w:val="Heading2"/>
      </w:pPr>
      <w:bookmarkStart w:id="3" w:name="_Toc201960404"/>
      <w:r w:rsidRPr="00FA3251">
        <w:lastRenderedPageBreak/>
        <w:t>Executive summary</w:t>
      </w:r>
      <w:bookmarkEnd w:id="3"/>
    </w:p>
    <w:p w14:paraId="5D914C78" w14:textId="77777777" w:rsidR="00FA3251" w:rsidRDefault="00FA3251" w:rsidP="00FA3251">
      <w:r>
        <w:t>This report provides a focused analysis of the Nigerian stock market performance for 2025, based on trailing six-month sector returns. It compares sector movements to 2024, identifying key shifts in investor sentiment and emerging market trends.</w:t>
      </w:r>
    </w:p>
    <w:p w14:paraId="2A2F7C37" w14:textId="77777777" w:rsidR="00FA3251" w:rsidRDefault="00FA3251" w:rsidP="00FA3251"/>
    <w:p w14:paraId="7ABD125C" w14:textId="77777777" w:rsidR="00FA3251" w:rsidRDefault="00FA3251" w:rsidP="00FA3251">
      <w:r>
        <w:t>While 2024 was marked by broad-based growth across Communication Services, Technology, and Consumer Discretionary sectors, 2025 reflects a sector rotation towards more defensive industries such as Consumer Staples and Utilities. Growth sectors slowed significantly, and cyclical sectors, including Energy and Real Estate, recorded substantial declines.</w:t>
      </w:r>
    </w:p>
    <w:p w14:paraId="42763F18" w14:textId="77777777" w:rsidR="00FA3251" w:rsidRDefault="00FA3251" w:rsidP="00FA3251"/>
    <w:p w14:paraId="4D5F564E" w14:textId="77777777" w:rsidR="00FA3251" w:rsidRDefault="00FA3251" w:rsidP="00FA3251">
      <w:r>
        <w:t>Opportunities in 2025 are likely to be found in consumer-focused, banking, and export-oriented sectors, supported by easing inflation and favorable currency conditions for exporters. However, risks remain elevated due to continued naira depreciation, tight monetary policy, and Nigeria’s exposure to global oil price fluctuations.</w:t>
      </w:r>
    </w:p>
    <w:p w14:paraId="5D7EDF54" w14:textId="77777777" w:rsidR="00FA3251" w:rsidRDefault="00FA3251" w:rsidP="00FA3251"/>
    <w:p w14:paraId="169B4C02" w14:textId="674A700E" w:rsidR="00FA3251" w:rsidRDefault="00FA3251" w:rsidP="00FA3251">
      <w:r>
        <w:t>Investors are advised to adopt a selective, sector-focused strategy while managing currency and macroeconomic risks carefully.</w:t>
      </w:r>
    </w:p>
    <w:p w14:paraId="79B29338" w14:textId="77777777" w:rsidR="00FA3251" w:rsidRDefault="00FA3251" w:rsidP="00FA3251"/>
    <w:p w14:paraId="30FF9A39" w14:textId="77777777" w:rsidR="00FA3251" w:rsidRDefault="00FA3251" w:rsidP="00FA3251"/>
    <w:p w14:paraId="3143B47E" w14:textId="77777777" w:rsidR="00FA3251" w:rsidRDefault="00FA3251" w:rsidP="00FA3251"/>
    <w:p w14:paraId="1D382CB9" w14:textId="77777777" w:rsidR="00FA3251" w:rsidRDefault="00FA3251" w:rsidP="00FA3251"/>
    <w:p w14:paraId="3A7CC4D2" w14:textId="77777777" w:rsidR="00FA3251" w:rsidRDefault="00FA3251" w:rsidP="00FA3251"/>
    <w:p w14:paraId="4FB177D0" w14:textId="77777777" w:rsidR="00FA3251" w:rsidRDefault="00FA3251" w:rsidP="00FA3251"/>
    <w:p w14:paraId="612F366D" w14:textId="77777777" w:rsidR="00FA3251" w:rsidRDefault="00FA3251" w:rsidP="00FA3251"/>
    <w:p w14:paraId="40BA4428" w14:textId="77777777" w:rsidR="00FA3251" w:rsidRDefault="00FA3251" w:rsidP="00FA3251"/>
    <w:p w14:paraId="4E34F8AB" w14:textId="77777777" w:rsidR="00FA3251" w:rsidRDefault="00FA3251" w:rsidP="00FA3251"/>
    <w:p w14:paraId="38ED1ABF" w14:textId="77777777" w:rsidR="00FA3251" w:rsidRDefault="00FA3251" w:rsidP="00FA3251"/>
    <w:p w14:paraId="44F9676F" w14:textId="77777777" w:rsidR="00FA3251" w:rsidRDefault="00FA3251" w:rsidP="00FA3251"/>
    <w:p w14:paraId="75701A8D" w14:textId="77777777" w:rsidR="00FA3251" w:rsidRDefault="00FA3251" w:rsidP="00FA3251"/>
    <w:p w14:paraId="231BD790" w14:textId="77777777" w:rsidR="00FA3251" w:rsidRDefault="00FA3251" w:rsidP="00FA3251"/>
    <w:p w14:paraId="0AE731F9" w14:textId="77777777" w:rsidR="00A47367" w:rsidRDefault="00A47367" w:rsidP="00FA3251"/>
    <w:p w14:paraId="16831A6C" w14:textId="76973D69" w:rsidR="00FA3251" w:rsidRPr="00FA3251" w:rsidRDefault="00FA3251" w:rsidP="00C575DE">
      <w:pPr>
        <w:pStyle w:val="Heading2"/>
      </w:pPr>
      <w:bookmarkStart w:id="4" w:name="_Toc201960405"/>
      <w:r w:rsidRPr="00FA3251">
        <w:lastRenderedPageBreak/>
        <w:t>Stock Market Overview</w:t>
      </w:r>
      <w:bookmarkEnd w:id="4"/>
    </w:p>
    <w:p w14:paraId="7A831E0F" w14:textId="752D0774" w:rsidR="00CE16B2" w:rsidRDefault="00CE16B2" w:rsidP="00CE16B2">
      <w:r>
        <w:t>This market research provides an in-depth analysis of the Nigerian Stock Market with a focus on identifying profitable investment opportunities and understanding the associated risks.</w:t>
      </w:r>
    </w:p>
    <w:p w14:paraId="688B3A27" w14:textId="77777777" w:rsidR="007825F1" w:rsidRDefault="007825F1" w:rsidP="007825F1">
      <w:r>
        <w:t>The stock market experienced mixed performance between January 2024 and June 2025, with notable periods of strong growth and significant downturns.</w:t>
      </w:r>
    </w:p>
    <w:p w14:paraId="07961CFA" w14:textId="26BC4B73" w:rsidR="0050648D" w:rsidRDefault="007825F1" w:rsidP="007825F1">
      <w:r>
        <w:t xml:space="preserve">November 2024 recorded the highest monthly gain at 5.4%, followed closely by May 2024 (4.9%) and </w:t>
      </w:r>
      <w:r w:rsidR="00850BD4">
        <w:t>February</w:t>
      </w:r>
      <w:r>
        <w:t xml:space="preserve"> 2024 (4.8%), indicating periods of strong market optimism and positive investor sentiment.</w:t>
      </w:r>
      <w:r w:rsidR="0050648D">
        <w:t xml:space="preserve"> </w:t>
      </w:r>
    </w:p>
    <w:p w14:paraId="7BE58878" w14:textId="77777777" w:rsidR="00850BD4" w:rsidRDefault="007825F1" w:rsidP="007825F1">
      <w:r>
        <w:t xml:space="preserve">The most significant market drop occurred in </w:t>
      </w:r>
      <w:r w:rsidR="00850BD4">
        <w:t>March</w:t>
      </w:r>
      <w:r>
        <w:t xml:space="preserve"> 2025, with a sharp decline of -6%, suggesting a possible market correction or response to unfavorable economic events. Other notable declines were in </w:t>
      </w:r>
      <w:r w:rsidR="00850BD4">
        <w:t>April</w:t>
      </w:r>
      <w:r>
        <w:t xml:space="preserve"> 2024 (-4.2%) and December 2024 (-2.6%).</w:t>
      </w:r>
      <w:r w:rsidR="0050648D">
        <w:t xml:space="preserve"> </w:t>
      </w:r>
    </w:p>
    <w:p w14:paraId="6FB70F4B" w14:textId="01480034" w:rsidR="007825F1" w:rsidRDefault="007825F1" w:rsidP="007825F1">
      <w:r>
        <w:t xml:space="preserve">Despite the April 2025 dip, the market quickly rebounded with gains in </w:t>
      </w:r>
      <w:r w:rsidR="00850BD4">
        <w:t xml:space="preserve">May </w:t>
      </w:r>
      <w:r>
        <w:t>2025 (5.1%) and June 2025 (4.1%), signaling renewed investor confidence.</w:t>
      </w:r>
    </w:p>
    <w:p w14:paraId="13252A26" w14:textId="3F2A0057" w:rsidR="00CE16B2" w:rsidRDefault="007825F1" w:rsidP="00CE16B2">
      <w:r>
        <w:t>The market showed resilience overall, with more months of positive returns than negative ones during the 18-month period. However, the recurring periods of volatility highlight the need for careful monitoring of market drivers and macroeconomic indicators.</w:t>
      </w:r>
    </w:p>
    <w:p w14:paraId="5A82EF95" w14:textId="77777777" w:rsidR="007825F1" w:rsidRDefault="007825F1" w:rsidP="00D41196">
      <w:pPr>
        <w:pStyle w:val="Heading2"/>
      </w:pPr>
    </w:p>
    <w:p w14:paraId="19F5788F" w14:textId="4CF6EB23" w:rsidR="003C44A7" w:rsidRDefault="00BC6012" w:rsidP="003C44A7">
      <w:pPr>
        <w:pStyle w:val="Bold"/>
      </w:pPr>
      <w:r>
        <w:rPr>
          <w:noProof/>
        </w:rPr>
        <w:drawing>
          <wp:inline distT="0" distB="0" distL="0" distR="0" wp14:anchorId="74220B52" wp14:editId="01DA8C37">
            <wp:extent cx="6919595" cy="3416300"/>
            <wp:effectExtent l="38100" t="38100" r="90805" b="88900"/>
            <wp:docPr id="22703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9595" cy="34163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48FE4C" w14:textId="77777777" w:rsidR="003C44A7" w:rsidRDefault="003C44A7" w:rsidP="003C44A7">
      <w:pPr>
        <w:pStyle w:val="Bold"/>
      </w:pPr>
    </w:p>
    <w:p w14:paraId="39FB23D6" w14:textId="77777777" w:rsidR="00127256" w:rsidRDefault="00127256" w:rsidP="003C44A7">
      <w:pPr>
        <w:pStyle w:val="Bold"/>
      </w:pPr>
    </w:p>
    <w:p w14:paraId="4650ABD6" w14:textId="5B3A3457" w:rsidR="00E14577" w:rsidRPr="00FC2BA4" w:rsidRDefault="00127256" w:rsidP="00C575DE">
      <w:pPr>
        <w:pStyle w:val="Heading2"/>
      </w:pPr>
      <w:bookmarkStart w:id="5" w:name="_Toc201960406"/>
      <w:r w:rsidRPr="00FC2BA4">
        <w:lastRenderedPageBreak/>
        <w:t>S</w:t>
      </w:r>
      <w:r w:rsidR="007B5BE3" w:rsidRPr="00FC2BA4">
        <w:t>tock Market Performance by Sector</w:t>
      </w:r>
      <w:r w:rsidR="00A44504">
        <w:t xml:space="preserve"> : 2024 vs 2025 (Trailing Six-Month Performance)</w:t>
      </w:r>
      <w:bookmarkEnd w:id="5"/>
    </w:p>
    <w:p w14:paraId="4788A860" w14:textId="3C7BD732" w:rsidR="007B5BE3" w:rsidRPr="00A44504" w:rsidRDefault="00A44504" w:rsidP="003C44A7">
      <w:pPr>
        <w:pStyle w:val="Bold"/>
        <w:rPr>
          <w:rFonts w:asciiTheme="minorHAnsi" w:hAnsiTheme="minorHAnsi"/>
          <w:b w:val="0"/>
          <w:bCs w:val="0"/>
        </w:rPr>
      </w:pPr>
      <w:r w:rsidRPr="00A44504">
        <w:rPr>
          <w:rFonts w:asciiTheme="minorHAnsi" w:hAnsiTheme="minorHAnsi"/>
          <w:b w:val="0"/>
          <w:bCs w:val="0"/>
        </w:rPr>
        <w:t>This analysis presents the sectoral stock market performance in Nigeria based on 2024 and 2025 (trailing six-month returns). The trailing six-month performance measures the percentage change in sector indices over the most recent six-month period, providing timely insight into current market trends and investor sentiment across sectors.</w:t>
      </w:r>
    </w:p>
    <w:p w14:paraId="6CBEC2BE" w14:textId="77777777" w:rsidR="00A44504" w:rsidRDefault="00A44504" w:rsidP="003C44A7">
      <w:pPr>
        <w:pStyle w:val="Bold"/>
      </w:pPr>
    </w:p>
    <w:p w14:paraId="44D26DA6" w14:textId="329A6574" w:rsidR="00A44504" w:rsidRPr="00A44504" w:rsidRDefault="00A44504" w:rsidP="00C575DE">
      <w:pPr>
        <w:pStyle w:val="Heading2"/>
      </w:pPr>
      <w:bookmarkStart w:id="6" w:name="_Toc201960407"/>
      <w:r w:rsidRPr="00A44504">
        <w:t>Sector Performance Comparison Table</w:t>
      </w:r>
      <w:bookmarkEnd w:id="6"/>
    </w:p>
    <w:p w14:paraId="765AAF1B" w14:textId="09B795FA" w:rsidR="00A44504" w:rsidRPr="00FC2BA4" w:rsidRDefault="004109B5" w:rsidP="003C44A7">
      <w:pPr>
        <w:pStyle w:val="Bold"/>
      </w:pPr>
      <w:r w:rsidRPr="004109B5">
        <w:rPr>
          <w:noProof/>
        </w:rPr>
        <w:drawing>
          <wp:inline distT="0" distB="0" distL="0" distR="0" wp14:anchorId="67555503" wp14:editId="1FA7DBC6">
            <wp:extent cx="6794500" cy="4686300"/>
            <wp:effectExtent l="38100" t="38100" r="101600" b="95250"/>
            <wp:docPr id="1244773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4500" cy="46863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A9E62B" w14:textId="77777777" w:rsidR="00C575DE" w:rsidRDefault="00C575DE" w:rsidP="003C44A7">
      <w:pPr>
        <w:pStyle w:val="Bold"/>
        <w:rPr>
          <w:b w:val="0"/>
          <w:bCs w:val="0"/>
        </w:rPr>
      </w:pPr>
    </w:p>
    <w:p w14:paraId="52A80CE4" w14:textId="77777777" w:rsidR="00C575DE" w:rsidRDefault="00C575DE" w:rsidP="003C44A7">
      <w:pPr>
        <w:pStyle w:val="Bold"/>
        <w:rPr>
          <w:b w:val="0"/>
          <w:bCs w:val="0"/>
        </w:rPr>
      </w:pPr>
    </w:p>
    <w:p w14:paraId="606C941F" w14:textId="77777777" w:rsidR="00C575DE" w:rsidRDefault="00C575DE" w:rsidP="003C44A7">
      <w:pPr>
        <w:pStyle w:val="Bold"/>
        <w:rPr>
          <w:b w:val="0"/>
          <w:bCs w:val="0"/>
        </w:rPr>
      </w:pPr>
    </w:p>
    <w:p w14:paraId="2D772B05" w14:textId="77777777" w:rsidR="00C575DE" w:rsidRDefault="00C575DE" w:rsidP="003C44A7">
      <w:pPr>
        <w:pStyle w:val="Bold"/>
        <w:rPr>
          <w:b w:val="0"/>
          <w:bCs w:val="0"/>
        </w:rPr>
      </w:pPr>
    </w:p>
    <w:p w14:paraId="35A95BE1" w14:textId="77777777" w:rsidR="00C575DE" w:rsidRDefault="00C575DE" w:rsidP="003C44A7">
      <w:pPr>
        <w:pStyle w:val="Bold"/>
        <w:rPr>
          <w:b w:val="0"/>
          <w:bCs w:val="0"/>
        </w:rPr>
      </w:pPr>
    </w:p>
    <w:p w14:paraId="6F9F0EC5" w14:textId="77777777" w:rsidR="00C575DE" w:rsidRDefault="00C575DE" w:rsidP="003C44A7">
      <w:pPr>
        <w:pStyle w:val="Bold"/>
        <w:rPr>
          <w:b w:val="0"/>
          <w:bCs w:val="0"/>
        </w:rPr>
      </w:pPr>
    </w:p>
    <w:p w14:paraId="4893545A" w14:textId="77777777" w:rsidR="00C575DE" w:rsidRDefault="00C575DE" w:rsidP="003C44A7">
      <w:pPr>
        <w:pStyle w:val="Bold"/>
        <w:rPr>
          <w:b w:val="0"/>
          <w:bCs w:val="0"/>
        </w:rPr>
      </w:pPr>
    </w:p>
    <w:p w14:paraId="4B861027" w14:textId="326B491F" w:rsidR="00C575DE" w:rsidRPr="00C575DE" w:rsidRDefault="00C575DE" w:rsidP="00C575DE">
      <w:pPr>
        <w:pStyle w:val="Heading2"/>
      </w:pPr>
      <w:bookmarkStart w:id="7" w:name="_Toc201960408"/>
      <w:r w:rsidRPr="00C575DE">
        <w:t>Sector Performance Comparison Chart</w:t>
      </w:r>
      <w:bookmarkEnd w:id="7"/>
    </w:p>
    <w:p w14:paraId="188C2E63" w14:textId="5717EA58" w:rsidR="00BE6A85" w:rsidRDefault="00F757B0" w:rsidP="003C44A7">
      <w:pPr>
        <w:pStyle w:val="Bold"/>
        <w:rPr>
          <w:b w:val="0"/>
          <w:bCs w:val="0"/>
        </w:rPr>
      </w:pPr>
      <w:r>
        <w:rPr>
          <w:b w:val="0"/>
          <w:bCs w:val="0"/>
          <w:noProof/>
        </w:rPr>
        <w:drawing>
          <wp:inline distT="0" distB="0" distL="0" distR="0" wp14:anchorId="6B0D03B0" wp14:editId="6D5BD7E4">
            <wp:extent cx="6797040" cy="4156507"/>
            <wp:effectExtent l="38100" t="38100" r="99060" b="92075"/>
            <wp:docPr id="721064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1438" cy="4177542"/>
                    </a:xfrm>
                    <a:prstGeom prst="rect">
                      <a:avLst/>
                    </a:prstGeom>
                    <a:noFill/>
                    <a:effectLst>
                      <a:outerShdw blurRad="50800" dist="38100" dir="2700000" algn="tl" rotWithShape="0">
                        <a:prstClr val="black">
                          <a:alpha val="40000"/>
                        </a:prstClr>
                      </a:outerShdw>
                    </a:effectLst>
                  </pic:spPr>
                </pic:pic>
              </a:graphicData>
            </a:graphic>
          </wp:inline>
        </w:drawing>
      </w:r>
    </w:p>
    <w:p w14:paraId="1ACCBB16" w14:textId="77777777" w:rsidR="00CC69F5" w:rsidRPr="00CC69F5" w:rsidRDefault="00CC69F5" w:rsidP="00C575DE">
      <w:pPr>
        <w:pStyle w:val="Heading2"/>
      </w:pPr>
      <w:bookmarkStart w:id="8" w:name="_Toc201960409"/>
      <w:r w:rsidRPr="00CC69F5">
        <w:t>Professional Analysis and Key Insights</w:t>
      </w:r>
      <w:bookmarkEnd w:id="8"/>
    </w:p>
    <w:p w14:paraId="68F31474" w14:textId="77777777" w:rsidR="007310CC" w:rsidRPr="007310CC" w:rsidRDefault="00CC69F5" w:rsidP="007310CC">
      <w:pPr>
        <w:pStyle w:val="Bold"/>
        <w:numPr>
          <w:ilvl w:val="0"/>
          <w:numId w:val="11"/>
        </w:numPr>
        <w:rPr>
          <w:b w:val="0"/>
          <w:bCs w:val="0"/>
        </w:rPr>
      </w:pPr>
      <w:r w:rsidRPr="00CC69F5">
        <w:rPr>
          <w:b w:val="0"/>
          <w:bCs w:val="0"/>
        </w:rPr>
        <w:t>2024 Growth-Driven Stock Market Rally</w:t>
      </w:r>
      <w:r w:rsidR="007310CC" w:rsidRPr="007310CC">
        <w:rPr>
          <w:b w:val="0"/>
          <w:bCs w:val="0"/>
        </w:rPr>
        <w:t xml:space="preserve"> </w:t>
      </w:r>
    </w:p>
    <w:p w14:paraId="09285A25" w14:textId="58D470AA" w:rsidR="00CC69F5" w:rsidRPr="00CC69F5" w:rsidRDefault="007310CC" w:rsidP="007310CC">
      <w:pPr>
        <w:pStyle w:val="Bold"/>
        <w:rPr>
          <w:rFonts w:asciiTheme="minorHAnsi" w:hAnsiTheme="minorHAnsi"/>
          <w:b w:val="0"/>
          <w:bCs w:val="0"/>
        </w:rPr>
      </w:pPr>
      <w:r>
        <w:rPr>
          <w:rFonts w:asciiTheme="minorHAnsi" w:hAnsiTheme="minorHAnsi"/>
          <w:b w:val="0"/>
          <w:bCs w:val="0"/>
        </w:rPr>
        <w:t xml:space="preserve"> </w:t>
      </w:r>
      <w:r w:rsidR="00CC69F5" w:rsidRPr="00CC69F5">
        <w:rPr>
          <w:rFonts w:asciiTheme="minorHAnsi" w:hAnsiTheme="minorHAnsi"/>
          <w:b w:val="0"/>
          <w:bCs w:val="0"/>
        </w:rPr>
        <w:t>In 2024, the Nigerian stock market saw strong gains across growth-oriented sectors:</w:t>
      </w:r>
    </w:p>
    <w:p w14:paraId="6C16EA52" w14:textId="40407BDA" w:rsidR="00CC69F5" w:rsidRPr="00CC69F5" w:rsidRDefault="00CC69F5" w:rsidP="007310CC">
      <w:pPr>
        <w:pStyle w:val="Bold"/>
        <w:numPr>
          <w:ilvl w:val="0"/>
          <w:numId w:val="10"/>
        </w:numPr>
        <w:rPr>
          <w:rFonts w:asciiTheme="minorHAnsi" w:hAnsiTheme="minorHAnsi"/>
          <w:b w:val="0"/>
          <w:bCs w:val="0"/>
        </w:rPr>
      </w:pPr>
      <w:r w:rsidRPr="00CC69F5">
        <w:rPr>
          <w:rFonts w:asciiTheme="minorHAnsi" w:hAnsiTheme="minorHAnsi"/>
          <w:b w:val="0"/>
          <w:bCs w:val="0"/>
        </w:rPr>
        <w:t>Communication Services (+39.7%) and Information Technology (+37.6%) led the market, driven by investor appetite for high-growth assets and sector expansion.</w:t>
      </w:r>
    </w:p>
    <w:p w14:paraId="4628446C" w14:textId="77777777" w:rsidR="00CC69F5" w:rsidRPr="00CC69F5" w:rsidRDefault="00CC69F5" w:rsidP="007310CC">
      <w:pPr>
        <w:pStyle w:val="Bold"/>
        <w:numPr>
          <w:ilvl w:val="0"/>
          <w:numId w:val="10"/>
        </w:numPr>
        <w:rPr>
          <w:rFonts w:asciiTheme="minorHAnsi" w:hAnsiTheme="minorHAnsi"/>
          <w:b w:val="0"/>
          <w:bCs w:val="0"/>
        </w:rPr>
      </w:pPr>
      <w:r w:rsidRPr="00CC69F5">
        <w:rPr>
          <w:rFonts w:asciiTheme="minorHAnsi" w:hAnsiTheme="minorHAnsi"/>
          <w:b w:val="0"/>
          <w:bCs w:val="0"/>
        </w:rPr>
        <w:t>Consumer Discretionary (+29.5%) and Financials (+28.9%) also performed strongly, reflecting robust consumer spending and solid banking sector fundamentals.</w:t>
      </w:r>
    </w:p>
    <w:p w14:paraId="11D5CE29" w14:textId="77777777" w:rsidR="00CC69F5" w:rsidRPr="00CC69F5" w:rsidRDefault="00CC69F5" w:rsidP="007310CC">
      <w:pPr>
        <w:pStyle w:val="Bold"/>
        <w:numPr>
          <w:ilvl w:val="0"/>
          <w:numId w:val="10"/>
        </w:numPr>
        <w:rPr>
          <w:rFonts w:asciiTheme="minorHAnsi" w:hAnsiTheme="minorHAnsi"/>
          <w:b w:val="0"/>
          <w:bCs w:val="0"/>
        </w:rPr>
      </w:pPr>
      <w:r w:rsidRPr="00CC69F5">
        <w:rPr>
          <w:rFonts w:asciiTheme="minorHAnsi" w:hAnsiTheme="minorHAnsi"/>
          <w:b w:val="0"/>
          <w:bCs w:val="0"/>
        </w:rPr>
        <w:t>The broad-based growth in 2024 was likely supported by improved earnings, positive investor sentiment, and favorable liquidity conditions.</w:t>
      </w:r>
    </w:p>
    <w:p w14:paraId="5252B616" w14:textId="45E8E20D" w:rsidR="00CC69F5" w:rsidRPr="00CC69F5" w:rsidRDefault="00CC69F5" w:rsidP="007310CC">
      <w:pPr>
        <w:pStyle w:val="Bold"/>
        <w:numPr>
          <w:ilvl w:val="0"/>
          <w:numId w:val="11"/>
        </w:numPr>
        <w:rPr>
          <w:b w:val="0"/>
          <w:bCs w:val="0"/>
        </w:rPr>
      </w:pPr>
      <w:r w:rsidRPr="00CC69F5">
        <w:rPr>
          <w:b w:val="0"/>
          <w:bCs w:val="0"/>
        </w:rPr>
        <w:t>2025 Sector Rotation and Market Correction</w:t>
      </w:r>
    </w:p>
    <w:p w14:paraId="4A2056DD" w14:textId="77777777" w:rsidR="00CC69F5" w:rsidRPr="00CC69F5" w:rsidRDefault="00CC69F5" w:rsidP="00CC69F5">
      <w:pPr>
        <w:pStyle w:val="Bold"/>
        <w:rPr>
          <w:rFonts w:asciiTheme="minorHAnsi" w:hAnsiTheme="minorHAnsi"/>
          <w:b w:val="0"/>
          <w:bCs w:val="0"/>
        </w:rPr>
      </w:pPr>
      <w:r w:rsidRPr="00CC69F5">
        <w:rPr>
          <w:rFonts w:asciiTheme="minorHAnsi" w:hAnsiTheme="minorHAnsi"/>
          <w:b w:val="0"/>
          <w:bCs w:val="0"/>
        </w:rPr>
        <w:t>In contrast, 2025 trailing six-month performance indicates a notable sector rotation:</w:t>
      </w:r>
    </w:p>
    <w:p w14:paraId="55B13333" w14:textId="77777777" w:rsidR="00CC69F5" w:rsidRPr="00CC69F5" w:rsidRDefault="00CC69F5" w:rsidP="00D4222A">
      <w:pPr>
        <w:pStyle w:val="Bold"/>
        <w:numPr>
          <w:ilvl w:val="0"/>
          <w:numId w:val="12"/>
        </w:numPr>
        <w:rPr>
          <w:rFonts w:asciiTheme="minorHAnsi" w:hAnsiTheme="minorHAnsi"/>
          <w:b w:val="0"/>
          <w:bCs w:val="0"/>
        </w:rPr>
      </w:pPr>
      <w:r w:rsidRPr="00CC69F5">
        <w:rPr>
          <w:rFonts w:asciiTheme="minorHAnsi" w:hAnsiTheme="minorHAnsi"/>
          <w:b w:val="0"/>
          <w:bCs w:val="0"/>
        </w:rPr>
        <w:lastRenderedPageBreak/>
        <w:t>Communication Services slowed to +7.3%, while Information Technology and Consumer Discretionary recorded negative performances (-0.4% and -3.7% respectively).</w:t>
      </w:r>
    </w:p>
    <w:p w14:paraId="0A062058" w14:textId="77777777" w:rsidR="00CC69F5" w:rsidRPr="00CC69F5" w:rsidRDefault="00CC69F5" w:rsidP="00D4222A">
      <w:pPr>
        <w:pStyle w:val="Bold"/>
        <w:numPr>
          <w:ilvl w:val="0"/>
          <w:numId w:val="12"/>
        </w:numPr>
        <w:rPr>
          <w:rFonts w:asciiTheme="minorHAnsi" w:hAnsiTheme="minorHAnsi"/>
          <w:b w:val="0"/>
          <w:bCs w:val="0"/>
        </w:rPr>
      </w:pPr>
      <w:r w:rsidRPr="00CC69F5">
        <w:rPr>
          <w:rFonts w:asciiTheme="minorHAnsi" w:hAnsiTheme="minorHAnsi"/>
          <w:b w:val="0"/>
          <w:bCs w:val="0"/>
        </w:rPr>
        <w:t>Financials and Industrials posted minimal gains, suggesting reduced market enthusiasm compared to the previous year.</w:t>
      </w:r>
    </w:p>
    <w:p w14:paraId="28138A44" w14:textId="77777777" w:rsidR="00CC69F5" w:rsidRPr="00CC69F5" w:rsidRDefault="00CC69F5" w:rsidP="00D4222A">
      <w:pPr>
        <w:pStyle w:val="Bold"/>
        <w:numPr>
          <w:ilvl w:val="0"/>
          <w:numId w:val="12"/>
        </w:numPr>
        <w:rPr>
          <w:rFonts w:asciiTheme="minorHAnsi" w:hAnsiTheme="minorHAnsi"/>
          <w:b w:val="0"/>
          <w:bCs w:val="0"/>
        </w:rPr>
      </w:pPr>
      <w:r w:rsidRPr="00CC69F5">
        <w:rPr>
          <w:rFonts w:asciiTheme="minorHAnsi" w:hAnsiTheme="minorHAnsi"/>
          <w:b w:val="0"/>
          <w:bCs w:val="0"/>
        </w:rPr>
        <w:t>Defensive sectors such as Consumer Staples (+3.1%) and Utilities (+0.4%) gained modestly, indicating a shift in investor preference toward safer, more stable stocks.</w:t>
      </w:r>
    </w:p>
    <w:p w14:paraId="34478F6F" w14:textId="1DED626A" w:rsidR="00CC69F5" w:rsidRPr="00CC69F5" w:rsidRDefault="00CC69F5" w:rsidP="00CC69F5">
      <w:pPr>
        <w:pStyle w:val="Bold"/>
        <w:numPr>
          <w:ilvl w:val="0"/>
          <w:numId w:val="12"/>
        </w:numPr>
        <w:rPr>
          <w:rFonts w:asciiTheme="minorHAnsi" w:hAnsiTheme="minorHAnsi"/>
          <w:b w:val="0"/>
          <w:bCs w:val="0"/>
        </w:rPr>
      </w:pPr>
      <w:r w:rsidRPr="00CC69F5">
        <w:rPr>
          <w:rFonts w:asciiTheme="minorHAnsi" w:hAnsiTheme="minorHAnsi"/>
          <w:b w:val="0"/>
          <w:bCs w:val="0"/>
        </w:rPr>
        <w:t>Energy (-13.0%), Health Care (-9.1%), Materials (-7.5%), and Real Estate (-5.5%) experienced significant declines, signaling pressure on cyclical and resource-dependent sectors.</w:t>
      </w:r>
    </w:p>
    <w:p w14:paraId="38565F47" w14:textId="1ABBDF85" w:rsidR="00CC69F5" w:rsidRPr="00CC69F5" w:rsidRDefault="00CC69F5" w:rsidP="00C575DE">
      <w:pPr>
        <w:pStyle w:val="Heading2"/>
      </w:pPr>
      <w:r w:rsidRPr="00CC69F5">
        <w:t> </w:t>
      </w:r>
      <w:bookmarkStart w:id="9" w:name="_Toc201960410"/>
      <w:r w:rsidRPr="00CC69F5">
        <w:t>Key Market Trends</w:t>
      </w:r>
      <w:bookmarkEnd w:id="9"/>
    </w:p>
    <w:p w14:paraId="64920B58" w14:textId="77777777" w:rsidR="00CC69F5" w:rsidRPr="00CC69F5" w:rsidRDefault="00CC69F5" w:rsidP="00D4222A">
      <w:pPr>
        <w:pStyle w:val="Bold"/>
        <w:numPr>
          <w:ilvl w:val="0"/>
          <w:numId w:val="13"/>
        </w:numPr>
        <w:rPr>
          <w:rFonts w:asciiTheme="minorHAnsi" w:hAnsiTheme="minorHAnsi"/>
          <w:b w:val="0"/>
          <w:bCs w:val="0"/>
        </w:rPr>
      </w:pPr>
      <w:r w:rsidRPr="00CC69F5">
        <w:rPr>
          <w:b w:val="0"/>
          <w:bCs w:val="0"/>
        </w:rPr>
        <w:t>Shift from Growth to Stability:</w:t>
      </w:r>
      <w:r w:rsidRPr="00CC69F5">
        <w:rPr>
          <w:b w:val="0"/>
          <w:bCs w:val="0"/>
        </w:rPr>
        <w:br/>
      </w:r>
      <w:r w:rsidRPr="00CC69F5">
        <w:rPr>
          <w:rFonts w:asciiTheme="minorHAnsi" w:hAnsiTheme="minorHAnsi"/>
          <w:b w:val="0"/>
          <w:bCs w:val="0"/>
        </w:rPr>
        <w:t>The sharp drop in performance across growth sectors suggests a movement towards risk aversion, likely influenced by macroeconomic challenges such as naira depreciation, monetary tightening, and slowing GDP growth.</w:t>
      </w:r>
    </w:p>
    <w:p w14:paraId="51CA2607" w14:textId="77777777" w:rsidR="00CC69F5" w:rsidRPr="00CC69F5" w:rsidRDefault="00CC69F5" w:rsidP="00D4222A">
      <w:pPr>
        <w:pStyle w:val="Bold"/>
        <w:numPr>
          <w:ilvl w:val="0"/>
          <w:numId w:val="13"/>
        </w:numPr>
        <w:rPr>
          <w:rFonts w:asciiTheme="minorHAnsi" w:hAnsiTheme="minorHAnsi"/>
          <w:b w:val="0"/>
          <w:bCs w:val="0"/>
        </w:rPr>
      </w:pPr>
      <w:r w:rsidRPr="00CC69F5">
        <w:rPr>
          <w:b w:val="0"/>
          <w:bCs w:val="0"/>
        </w:rPr>
        <w:t>Defensive Sector Resilience:</w:t>
      </w:r>
      <w:r w:rsidRPr="00CC69F5">
        <w:rPr>
          <w:b w:val="0"/>
          <w:bCs w:val="0"/>
        </w:rPr>
        <w:br/>
      </w:r>
      <w:r w:rsidRPr="00CC69F5">
        <w:rPr>
          <w:rFonts w:asciiTheme="minorHAnsi" w:hAnsiTheme="minorHAnsi"/>
          <w:b w:val="0"/>
          <w:bCs w:val="0"/>
        </w:rPr>
        <w:t>Sectors like Consumer Staples and Utilities, known for their stability in uncertain markets, maintained positive but subdued growth in 2025.</w:t>
      </w:r>
    </w:p>
    <w:p w14:paraId="52AC9BC2" w14:textId="0CF881CB" w:rsidR="00CC69F5" w:rsidRPr="00CC69F5" w:rsidRDefault="00CC69F5" w:rsidP="00CC69F5">
      <w:pPr>
        <w:pStyle w:val="Bold"/>
        <w:numPr>
          <w:ilvl w:val="0"/>
          <w:numId w:val="13"/>
        </w:numPr>
        <w:rPr>
          <w:rFonts w:asciiTheme="minorHAnsi" w:hAnsiTheme="minorHAnsi"/>
          <w:b w:val="0"/>
          <w:bCs w:val="0"/>
        </w:rPr>
      </w:pPr>
      <w:r w:rsidRPr="00CC69F5">
        <w:rPr>
          <w:b w:val="0"/>
          <w:bCs w:val="0"/>
        </w:rPr>
        <w:t>Cyclical Weakness:</w:t>
      </w:r>
      <w:r w:rsidRPr="00CC69F5">
        <w:rPr>
          <w:rFonts w:asciiTheme="minorHAnsi" w:hAnsiTheme="minorHAnsi"/>
          <w:b w:val="0"/>
          <w:bCs w:val="0"/>
        </w:rPr>
        <w:br/>
        <w:t>Energy, Real Estate, and Materials, which are typically sensitive to economic cycles, underperformed in 2025, reflecting lower commodity prices, currency pressures, and reduced investor risk appetite.</w:t>
      </w:r>
    </w:p>
    <w:p w14:paraId="0B4BB4EE" w14:textId="77777777" w:rsidR="00546F8C" w:rsidRDefault="00546F8C" w:rsidP="003C44A7">
      <w:pPr>
        <w:pStyle w:val="Bold"/>
        <w:rPr>
          <w:b w:val="0"/>
          <w:bCs w:val="0"/>
        </w:rPr>
      </w:pPr>
    </w:p>
    <w:p w14:paraId="3882FEBF" w14:textId="77777777" w:rsidR="00546F8C" w:rsidRDefault="00546F8C" w:rsidP="003C44A7">
      <w:pPr>
        <w:pStyle w:val="Bold"/>
        <w:rPr>
          <w:b w:val="0"/>
          <w:bCs w:val="0"/>
        </w:rPr>
      </w:pPr>
    </w:p>
    <w:p w14:paraId="0B189D0A" w14:textId="77777777" w:rsidR="00D4222A" w:rsidRDefault="00D4222A" w:rsidP="003C44A7">
      <w:pPr>
        <w:pStyle w:val="Bold"/>
        <w:rPr>
          <w:b w:val="0"/>
          <w:bCs w:val="0"/>
        </w:rPr>
      </w:pPr>
    </w:p>
    <w:p w14:paraId="339F765A" w14:textId="77777777" w:rsidR="00D4222A" w:rsidRDefault="00D4222A" w:rsidP="003C44A7">
      <w:pPr>
        <w:pStyle w:val="Bold"/>
        <w:rPr>
          <w:b w:val="0"/>
          <w:bCs w:val="0"/>
          <w:sz w:val="32"/>
          <w:szCs w:val="28"/>
        </w:rPr>
      </w:pPr>
    </w:p>
    <w:p w14:paraId="29101A36" w14:textId="77777777" w:rsidR="00D4222A" w:rsidRDefault="00D4222A" w:rsidP="003C44A7">
      <w:pPr>
        <w:pStyle w:val="Bold"/>
        <w:rPr>
          <w:b w:val="0"/>
          <w:bCs w:val="0"/>
          <w:sz w:val="32"/>
          <w:szCs w:val="28"/>
        </w:rPr>
      </w:pPr>
    </w:p>
    <w:p w14:paraId="2213E556" w14:textId="77777777" w:rsidR="00D4222A" w:rsidRDefault="00D4222A" w:rsidP="003C44A7">
      <w:pPr>
        <w:pStyle w:val="Bold"/>
        <w:rPr>
          <w:b w:val="0"/>
          <w:bCs w:val="0"/>
          <w:sz w:val="32"/>
          <w:szCs w:val="28"/>
        </w:rPr>
      </w:pPr>
    </w:p>
    <w:p w14:paraId="11B4727A" w14:textId="77777777" w:rsidR="00D4222A" w:rsidRDefault="00D4222A" w:rsidP="003C44A7">
      <w:pPr>
        <w:pStyle w:val="Bold"/>
        <w:rPr>
          <w:b w:val="0"/>
          <w:bCs w:val="0"/>
          <w:sz w:val="32"/>
          <w:szCs w:val="28"/>
        </w:rPr>
      </w:pPr>
    </w:p>
    <w:p w14:paraId="3D2F81A4" w14:textId="77777777" w:rsidR="00D4222A" w:rsidRDefault="00D4222A" w:rsidP="003C44A7">
      <w:pPr>
        <w:pStyle w:val="Bold"/>
        <w:rPr>
          <w:b w:val="0"/>
          <w:bCs w:val="0"/>
          <w:sz w:val="32"/>
          <w:szCs w:val="28"/>
        </w:rPr>
      </w:pPr>
    </w:p>
    <w:p w14:paraId="61F0F698" w14:textId="77777777" w:rsidR="00D4222A" w:rsidRDefault="00D4222A" w:rsidP="003C44A7">
      <w:pPr>
        <w:pStyle w:val="Bold"/>
        <w:rPr>
          <w:b w:val="0"/>
          <w:bCs w:val="0"/>
          <w:sz w:val="32"/>
          <w:szCs w:val="28"/>
        </w:rPr>
      </w:pPr>
    </w:p>
    <w:p w14:paraId="16FAB105" w14:textId="77777777" w:rsidR="00D4222A" w:rsidRDefault="00D4222A" w:rsidP="003C44A7">
      <w:pPr>
        <w:pStyle w:val="Bold"/>
        <w:rPr>
          <w:b w:val="0"/>
          <w:bCs w:val="0"/>
          <w:sz w:val="32"/>
          <w:szCs w:val="28"/>
        </w:rPr>
      </w:pPr>
    </w:p>
    <w:p w14:paraId="1EF03381" w14:textId="77777777" w:rsidR="00D4222A" w:rsidRDefault="00D4222A" w:rsidP="003C44A7">
      <w:pPr>
        <w:pStyle w:val="Bold"/>
        <w:rPr>
          <w:b w:val="0"/>
          <w:bCs w:val="0"/>
          <w:sz w:val="32"/>
          <w:szCs w:val="28"/>
        </w:rPr>
      </w:pPr>
    </w:p>
    <w:p w14:paraId="6568000D" w14:textId="77777777" w:rsidR="00D4222A" w:rsidRDefault="00D4222A" w:rsidP="003C44A7">
      <w:pPr>
        <w:pStyle w:val="Bold"/>
        <w:rPr>
          <w:b w:val="0"/>
          <w:bCs w:val="0"/>
          <w:sz w:val="32"/>
          <w:szCs w:val="28"/>
        </w:rPr>
      </w:pPr>
    </w:p>
    <w:p w14:paraId="53406FC7" w14:textId="078C3669" w:rsidR="00546F8C" w:rsidRPr="00FC2BA4" w:rsidRDefault="00546F8C" w:rsidP="00C575DE">
      <w:pPr>
        <w:pStyle w:val="Heading2"/>
      </w:pPr>
      <w:bookmarkStart w:id="10" w:name="_Toc201960411"/>
      <w:r w:rsidRPr="00FC2BA4">
        <w:t>Top Performing Stocks in 2025</w:t>
      </w:r>
      <w:bookmarkEnd w:id="10"/>
    </w:p>
    <w:p w14:paraId="5606D830" w14:textId="0E56B275" w:rsidR="00546F8C" w:rsidRPr="00A22315" w:rsidRDefault="00A22315" w:rsidP="003C44A7">
      <w:pPr>
        <w:pStyle w:val="Bold"/>
        <w:rPr>
          <w:rFonts w:asciiTheme="minorHAnsi" w:hAnsiTheme="minorHAnsi"/>
          <w:b w:val="0"/>
          <w:bCs w:val="0"/>
        </w:rPr>
      </w:pPr>
      <w:r w:rsidRPr="00A22315">
        <w:rPr>
          <w:rFonts w:asciiTheme="minorHAnsi" w:hAnsiTheme="minorHAnsi"/>
          <w:b w:val="0"/>
          <w:bCs w:val="0"/>
        </w:rPr>
        <w:t>Investors continue to closely monitor the S&amp;P 500 and its leading constituents as a gauge of market momentum and investment potential. While past performance is not indicative of future results, certain companies</w:t>
      </w:r>
      <w:r>
        <w:rPr>
          <w:rFonts w:asciiTheme="minorHAnsi" w:hAnsiTheme="minorHAnsi"/>
          <w:b w:val="0"/>
          <w:bCs w:val="0"/>
        </w:rPr>
        <w:t xml:space="preserve"> </w:t>
      </w:r>
      <w:r w:rsidRPr="00A22315">
        <w:rPr>
          <w:rFonts w:asciiTheme="minorHAnsi" w:hAnsiTheme="minorHAnsi"/>
          <w:b w:val="0"/>
          <w:bCs w:val="0"/>
        </w:rPr>
        <w:t>such as Amazon and Apple</w:t>
      </w:r>
      <w:r>
        <w:rPr>
          <w:rFonts w:asciiTheme="minorHAnsi" w:hAnsiTheme="minorHAnsi"/>
          <w:b w:val="0"/>
          <w:bCs w:val="0"/>
        </w:rPr>
        <w:t xml:space="preserve"> </w:t>
      </w:r>
      <w:r w:rsidRPr="00A22315">
        <w:rPr>
          <w:rFonts w:asciiTheme="minorHAnsi" w:hAnsiTheme="minorHAnsi"/>
          <w:b w:val="0"/>
          <w:bCs w:val="0"/>
        </w:rPr>
        <w:t>have consistently provided valuable signals of potential market outperformance. The table below highlights some of the best-performing stocks within the S&amp;P 500 for the year 2025, which may offer insights into current market trends and investor sentiment.</w:t>
      </w:r>
    </w:p>
    <w:p w14:paraId="397EEA06" w14:textId="03705320" w:rsidR="00BF5288" w:rsidRDefault="00BF5288" w:rsidP="003C44A7">
      <w:pPr>
        <w:pStyle w:val="Bold"/>
        <w:rPr>
          <w:b w:val="0"/>
          <w:bCs w:val="0"/>
        </w:rPr>
      </w:pPr>
      <w:r w:rsidRPr="00BF5288">
        <w:rPr>
          <w:noProof/>
        </w:rPr>
        <w:drawing>
          <wp:inline distT="0" distB="0" distL="0" distR="0" wp14:anchorId="37DD3355" wp14:editId="14FD97AC">
            <wp:extent cx="6258090" cy="2769157"/>
            <wp:effectExtent l="38100" t="38100" r="66675" b="88900"/>
            <wp:docPr id="19617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2477" cy="279764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3AA2275" w14:textId="674A7F43" w:rsidR="00BF5288" w:rsidRPr="00BF5288" w:rsidRDefault="00BF5288" w:rsidP="003C44A7">
      <w:pPr>
        <w:pStyle w:val="Bold"/>
        <w:rPr>
          <w:rFonts w:asciiTheme="minorHAnsi" w:hAnsiTheme="minorHAnsi"/>
          <w:b w:val="0"/>
          <w:bCs w:val="0"/>
        </w:rPr>
      </w:pPr>
      <w:r w:rsidRPr="00BF5288">
        <w:rPr>
          <w:rFonts w:asciiTheme="minorHAnsi" w:hAnsiTheme="minorHAnsi"/>
          <w:b w:val="0"/>
          <w:bCs w:val="0"/>
        </w:rPr>
        <w:t>In addition to tracking top gainers, it is essential to evaluate stocks that have lagged behind the broader index. Historical market cycles suggest that underperforming stocks in the current period may present potential upside opportunities in the future. Investors may find value in identifying fundamentally strong companies currently trading at discounted levels, as these could offer attractive entry points for long-term positions.</w:t>
      </w:r>
    </w:p>
    <w:p w14:paraId="29D58770" w14:textId="6702EB37" w:rsidR="0085746D" w:rsidRDefault="00BF5288" w:rsidP="003C44A7">
      <w:pPr>
        <w:pStyle w:val="Bold"/>
        <w:rPr>
          <w:rFonts w:asciiTheme="minorHAnsi" w:hAnsiTheme="minorHAnsi"/>
          <w:b w:val="0"/>
          <w:bCs w:val="0"/>
        </w:rPr>
      </w:pPr>
      <w:r w:rsidRPr="00BF5288">
        <w:rPr>
          <w:noProof/>
        </w:rPr>
        <w:lastRenderedPageBreak/>
        <w:drawing>
          <wp:inline distT="0" distB="0" distL="0" distR="0" wp14:anchorId="586906E2" wp14:editId="6C90C5D9">
            <wp:extent cx="6720665" cy="4991100"/>
            <wp:effectExtent l="38100" t="38100" r="80645" b="95250"/>
            <wp:docPr id="1773377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1135" cy="505828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F36556D" w14:textId="77777777" w:rsidR="00D4222A" w:rsidRDefault="00D4222A" w:rsidP="00FC2BA4">
      <w:pPr>
        <w:pStyle w:val="Bold"/>
        <w:rPr>
          <w:b w:val="0"/>
          <w:bCs w:val="0"/>
          <w:sz w:val="32"/>
          <w:szCs w:val="32"/>
        </w:rPr>
      </w:pPr>
    </w:p>
    <w:p w14:paraId="3C16DB30" w14:textId="77777777" w:rsidR="00D4222A" w:rsidRDefault="00D4222A" w:rsidP="00FC2BA4">
      <w:pPr>
        <w:pStyle w:val="Bold"/>
        <w:rPr>
          <w:b w:val="0"/>
          <w:bCs w:val="0"/>
          <w:sz w:val="32"/>
          <w:szCs w:val="32"/>
        </w:rPr>
      </w:pPr>
    </w:p>
    <w:p w14:paraId="5E5D3F0F" w14:textId="77777777" w:rsidR="00D4222A" w:rsidRDefault="00D4222A" w:rsidP="00FC2BA4">
      <w:pPr>
        <w:pStyle w:val="Bold"/>
        <w:rPr>
          <w:b w:val="0"/>
          <w:bCs w:val="0"/>
          <w:sz w:val="32"/>
          <w:szCs w:val="32"/>
        </w:rPr>
      </w:pPr>
    </w:p>
    <w:p w14:paraId="1BAEC28E" w14:textId="77777777" w:rsidR="00A47367" w:rsidRDefault="00A47367" w:rsidP="00FC2BA4">
      <w:pPr>
        <w:pStyle w:val="Bold"/>
        <w:rPr>
          <w:b w:val="0"/>
          <w:bCs w:val="0"/>
          <w:sz w:val="32"/>
          <w:szCs w:val="32"/>
        </w:rPr>
      </w:pPr>
    </w:p>
    <w:p w14:paraId="055567BB" w14:textId="77777777" w:rsidR="00A47367" w:rsidRDefault="00A47367" w:rsidP="00FC2BA4">
      <w:pPr>
        <w:pStyle w:val="Bold"/>
        <w:rPr>
          <w:b w:val="0"/>
          <w:bCs w:val="0"/>
          <w:sz w:val="32"/>
          <w:szCs w:val="32"/>
        </w:rPr>
      </w:pPr>
    </w:p>
    <w:p w14:paraId="1D48215C" w14:textId="77777777" w:rsidR="00A47367" w:rsidRDefault="00A47367" w:rsidP="00FC2BA4">
      <w:pPr>
        <w:pStyle w:val="Bold"/>
        <w:rPr>
          <w:b w:val="0"/>
          <w:bCs w:val="0"/>
          <w:sz w:val="32"/>
          <w:szCs w:val="32"/>
        </w:rPr>
      </w:pPr>
    </w:p>
    <w:p w14:paraId="3F5A9C8C" w14:textId="77777777" w:rsidR="00A47367" w:rsidRDefault="00A47367" w:rsidP="00FC2BA4">
      <w:pPr>
        <w:pStyle w:val="Bold"/>
        <w:rPr>
          <w:b w:val="0"/>
          <w:bCs w:val="0"/>
          <w:sz w:val="32"/>
          <w:szCs w:val="32"/>
        </w:rPr>
      </w:pPr>
    </w:p>
    <w:p w14:paraId="00E43F9A" w14:textId="77777777" w:rsidR="00A47367" w:rsidRDefault="00A47367" w:rsidP="00FC2BA4">
      <w:pPr>
        <w:pStyle w:val="Bold"/>
        <w:rPr>
          <w:b w:val="0"/>
          <w:bCs w:val="0"/>
          <w:sz w:val="32"/>
          <w:szCs w:val="32"/>
        </w:rPr>
      </w:pPr>
    </w:p>
    <w:p w14:paraId="7F476CEB" w14:textId="77777777" w:rsidR="00A47367" w:rsidRDefault="00A47367" w:rsidP="00FC2BA4">
      <w:pPr>
        <w:pStyle w:val="Bold"/>
        <w:rPr>
          <w:b w:val="0"/>
          <w:bCs w:val="0"/>
          <w:sz w:val="32"/>
          <w:szCs w:val="32"/>
        </w:rPr>
      </w:pPr>
    </w:p>
    <w:p w14:paraId="61C5FE64" w14:textId="77777777" w:rsidR="00A47367" w:rsidRDefault="00A47367" w:rsidP="00FC2BA4">
      <w:pPr>
        <w:pStyle w:val="Bold"/>
        <w:rPr>
          <w:b w:val="0"/>
          <w:bCs w:val="0"/>
          <w:sz w:val="32"/>
          <w:szCs w:val="32"/>
        </w:rPr>
      </w:pPr>
    </w:p>
    <w:p w14:paraId="0C5847FB" w14:textId="77777777" w:rsidR="00A47367" w:rsidRDefault="00A47367" w:rsidP="00FC2BA4">
      <w:pPr>
        <w:pStyle w:val="Bold"/>
        <w:rPr>
          <w:b w:val="0"/>
          <w:bCs w:val="0"/>
          <w:sz w:val="32"/>
          <w:szCs w:val="32"/>
        </w:rPr>
      </w:pPr>
    </w:p>
    <w:p w14:paraId="40E78EEF" w14:textId="45ED5AFA" w:rsidR="00FC2BA4" w:rsidRPr="00FC2BA4" w:rsidRDefault="00FC2BA4" w:rsidP="00C575DE">
      <w:pPr>
        <w:pStyle w:val="Heading2"/>
        <w:rPr>
          <w:sz w:val="28"/>
          <w:szCs w:val="28"/>
        </w:rPr>
      </w:pPr>
      <w:bookmarkStart w:id="11" w:name="_Toc201960412"/>
      <w:r w:rsidRPr="00146D7D">
        <w:t>Macroeconomic Overview and Stock Market Implications</w:t>
      </w:r>
      <w:bookmarkEnd w:id="11"/>
    </w:p>
    <w:p w14:paraId="0F97F83C" w14:textId="7DD71001" w:rsidR="00FC2BA4" w:rsidRPr="00FC2BA4" w:rsidRDefault="00FC2BA4" w:rsidP="00FC2BA4">
      <w:pPr>
        <w:pStyle w:val="Bold"/>
        <w:rPr>
          <w:rFonts w:asciiTheme="minorHAnsi" w:hAnsiTheme="minorHAnsi"/>
          <w:b w:val="0"/>
          <w:bCs w:val="0"/>
          <w:szCs w:val="24"/>
        </w:rPr>
      </w:pPr>
      <w:r w:rsidRPr="00FC2BA4">
        <w:rPr>
          <w:rFonts w:asciiTheme="minorHAnsi" w:hAnsiTheme="minorHAnsi"/>
          <w:b w:val="0"/>
          <w:bCs w:val="0"/>
          <w:szCs w:val="24"/>
        </w:rPr>
        <w:t xml:space="preserve">The table </w:t>
      </w:r>
      <w:r>
        <w:rPr>
          <w:rFonts w:asciiTheme="minorHAnsi" w:hAnsiTheme="minorHAnsi"/>
          <w:b w:val="0"/>
          <w:bCs w:val="0"/>
          <w:szCs w:val="24"/>
        </w:rPr>
        <w:t xml:space="preserve">below </w:t>
      </w:r>
      <w:r w:rsidRPr="00FC2BA4">
        <w:rPr>
          <w:rFonts w:asciiTheme="minorHAnsi" w:hAnsiTheme="minorHAnsi"/>
          <w:b w:val="0"/>
          <w:bCs w:val="0"/>
          <w:szCs w:val="24"/>
        </w:rPr>
        <w:t>highlights key macroeconomic indicators for Nigeria in 2024 and 2025. These indicators are critical in shaping the performance and investor sentiment in the Nigerian stock market.</w:t>
      </w:r>
    </w:p>
    <w:p w14:paraId="263D4AD9" w14:textId="77777777" w:rsidR="00FC2BA4" w:rsidRPr="00FC2BA4" w:rsidRDefault="00FC2BA4" w:rsidP="00FC2BA4">
      <w:pPr>
        <w:pStyle w:val="Bold"/>
        <w:numPr>
          <w:ilvl w:val="0"/>
          <w:numId w:val="3"/>
        </w:numPr>
        <w:rPr>
          <w:rFonts w:asciiTheme="minorHAnsi" w:hAnsiTheme="minorHAnsi"/>
          <w:szCs w:val="24"/>
        </w:rPr>
      </w:pPr>
      <w:r w:rsidRPr="00FC2BA4">
        <w:rPr>
          <w:rFonts w:asciiTheme="minorHAnsi" w:hAnsiTheme="minorHAnsi"/>
          <w:szCs w:val="24"/>
        </w:rPr>
        <w:t>Exchange Rate (</w:t>
      </w:r>
      <w:r w:rsidRPr="00FC2BA4">
        <w:rPr>
          <w:rFonts w:ascii="Arial" w:hAnsi="Arial" w:cs="Arial"/>
          <w:szCs w:val="24"/>
        </w:rPr>
        <w:t>₦</w:t>
      </w:r>
      <w:r w:rsidRPr="00FC2BA4">
        <w:rPr>
          <w:rFonts w:asciiTheme="minorHAnsi" w:hAnsiTheme="minorHAnsi"/>
          <w:szCs w:val="24"/>
        </w:rPr>
        <w:t>/USD):</w:t>
      </w:r>
    </w:p>
    <w:p w14:paraId="186D35F6" w14:textId="77777777" w:rsidR="00FC2BA4" w:rsidRPr="00FC2BA4" w:rsidRDefault="00FC2BA4" w:rsidP="00FC2BA4">
      <w:pPr>
        <w:pStyle w:val="Bold"/>
        <w:rPr>
          <w:rFonts w:asciiTheme="minorHAnsi" w:hAnsiTheme="minorHAnsi"/>
          <w:b w:val="0"/>
          <w:bCs w:val="0"/>
          <w:szCs w:val="24"/>
        </w:rPr>
      </w:pPr>
      <w:r w:rsidRPr="00FC2BA4">
        <w:rPr>
          <w:rFonts w:asciiTheme="minorHAnsi" w:hAnsiTheme="minorHAnsi"/>
          <w:b w:val="0"/>
          <w:bCs w:val="0"/>
          <w:szCs w:val="24"/>
        </w:rPr>
        <w:t xml:space="preserve">The exchange rate depreciated from </w:t>
      </w:r>
      <w:r w:rsidRPr="00FC2BA4">
        <w:rPr>
          <w:rFonts w:ascii="Arial" w:hAnsi="Arial" w:cs="Arial"/>
          <w:b w:val="0"/>
          <w:bCs w:val="0"/>
          <w:szCs w:val="24"/>
        </w:rPr>
        <w:t>₦</w:t>
      </w:r>
      <w:r w:rsidRPr="00FC2BA4">
        <w:rPr>
          <w:rFonts w:asciiTheme="minorHAnsi" w:hAnsiTheme="minorHAnsi"/>
          <w:b w:val="0"/>
          <w:bCs w:val="0"/>
          <w:szCs w:val="24"/>
        </w:rPr>
        <w:t xml:space="preserve">1,472.14/USD in 2024 to </w:t>
      </w:r>
      <w:r w:rsidRPr="00FC2BA4">
        <w:rPr>
          <w:rFonts w:ascii="Arial" w:hAnsi="Arial" w:cs="Arial"/>
          <w:b w:val="0"/>
          <w:bCs w:val="0"/>
          <w:szCs w:val="24"/>
        </w:rPr>
        <w:t>₦</w:t>
      </w:r>
      <w:r w:rsidRPr="00FC2BA4">
        <w:rPr>
          <w:rFonts w:asciiTheme="minorHAnsi" w:hAnsiTheme="minorHAnsi"/>
          <w:b w:val="0"/>
          <w:bCs w:val="0"/>
          <w:szCs w:val="24"/>
        </w:rPr>
        <w:t>1,549.03/USD in 2025, indicating further naira weakness. A depreciating naira often raises import costs, puts pressure on inflation, and can reduce foreign investor confidence in the equity market.</w:t>
      </w:r>
    </w:p>
    <w:p w14:paraId="2F5A298F" w14:textId="77777777" w:rsidR="00FC2BA4" w:rsidRPr="00FC2BA4" w:rsidRDefault="00FC2BA4" w:rsidP="00FC2BA4">
      <w:pPr>
        <w:pStyle w:val="Bold"/>
        <w:numPr>
          <w:ilvl w:val="0"/>
          <w:numId w:val="3"/>
        </w:numPr>
        <w:rPr>
          <w:rFonts w:asciiTheme="minorHAnsi" w:hAnsiTheme="minorHAnsi"/>
          <w:szCs w:val="24"/>
        </w:rPr>
      </w:pPr>
      <w:r w:rsidRPr="00FC2BA4">
        <w:rPr>
          <w:rFonts w:asciiTheme="minorHAnsi" w:hAnsiTheme="minorHAnsi"/>
          <w:szCs w:val="24"/>
        </w:rPr>
        <w:t>Monetary Policy Rate (MPR):</w:t>
      </w:r>
    </w:p>
    <w:p w14:paraId="30F911F7" w14:textId="77777777" w:rsidR="00FC2BA4" w:rsidRPr="00FC2BA4" w:rsidRDefault="00FC2BA4" w:rsidP="00FC2BA4">
      <w:pPr>
        <w:pStyle w:val="Bold"/>
        <w:rPr>
          <w:rFonts w:asciiTheme="minorHAnsi" w:hAnsiTheme="minorHAnsi"/>
          <w:b w:val="0"/>
          <w:bCs w:val="0"/>
          <w:szCs w:val="24"/>
        </w:rPr>
      </w:pPr>
      <w:r w:rsidRPr="00FC2BA4">
        <w:rPr>
          <w:rFonts w:asciiTheme="minorHAnsi" w:hAnsiTheme="minorHAnsi"/>
          <w:b w:val="0"/>
          <w:bCs w:val="0"/>
          <w:szCs w:val="24"/>
        </w:rPr>
        <w:t>The MPR remained unchanged at 27.50% across both years, signaling a sustained tight monetary policy stance aimed at curbing inflation. Elevated interest rates can make borrowing more expensive for companies, potentially slowing business expansion and affecting stock valuations, particularly in interest-sensitive sectors like banking and consumer goods.</w:t>
      </w:r>
    </w:p>
    <w:p w14:paraId="65C7C49E" w14:textId="77777777" w:rsidR="00FC2BA4" w:rsidRPr="00FC2BA4" w:rsidRDefault="00FC2BA4" w:rsidP="00FC2BA4">
      <w:pPr>
        <w:pStyle w:val="Bold"/>
        <w:numPr>
          <w:ilvl w:val="0"/>
          <w:numId w:val="3"/>
        </w:numPr>
        <w:rPr>
          <w:rFonts w:asciiTheme="minorHAnsi" w:hAnsiTheme="minorHAnsi"/>
          <w:szCs w:val="24"/>
        </w:rPr>
      </w:pPr>
      <w:r w:rsidRPr="00FC2BA4">
        <w:rPr>
          <w:rFonts w:asciiTheme="minorHAnsi" w:hAnsiTheme="minorHAnsi"/>
          <w:szCs w:val="24"/>
        </w:rPr>
        <w:t>Inflation:</w:t>
      </w:r>
    </w:p>
    <w:p w14:paraId="3BCEC2F5" w14:textId="77777777" w:rsidR="00FC2BA4" w:rsidRPr="00FC2BA4" w:rsidRDefault="00FC2BA4" w:rsidP="00FC2BA4">
      <w:pPr>
        <w:pStyle w:val="Bold"/>
        <w:rPr>
          <w:rFonts w:asciiTheme="minorHAnsi" w:hAnsiTheme="minorHAnsi"/>
          <w:b w:val="0"/>
          <w:bCs w:val="0"/>
          <w:szCs w:val="24"/>
        </w:rPr>
      </w:pPr>
      <w:r w:rsidRPr="00FC2BA4">
        <w:rPr>
          <w:rFonts w:asciiTheme="minorHAnsi" w:hAnsiTheme="minorHAnsi"/>
          <w:b w:val="0"/>
          <w:bCs w:val="0"/>
          <w:szCs w:val="24"/>
        </w:rPr>
        <w:t>Inflation is projected to decline significantly from 34.80% in 2024 to 22.97% in 2025. This moderation may improve consumer purchasing power and corporate profit margins, potentially supporting a positive stock market outlook if sustained.</w:t>
      </w:r>
    </w:p>
    <w:p w14:paraId="2D393382" w14:textId="77777777" w:rsidR="00FC2BA4" w:rsidRPr="00FC2BA4" w:rsidRDefault="00FC2BA4" w:rsidP="00FC2BA4">
      <w:pPr>
        <w:pStyle w:val="Bold"/>
        <w:numPr>
          <w:ilvl w:val="0"/>
          <w:numId w:val="3"/>
        </w:numPr>
        <w:rPr>
          <w:rFonts w:asciiTheme="minorHAnsi" w:hAnsiTheme="minorHAnsi"/>
          <w:szCs w:val="24"/>
        </w:rPr>
      </w:pPr>
      <w:r w:rsidRPr="00FC2BA4">
        <w:rPr>
          <w:rFonts w:asciiTheme="minorHAnsi" w:hAnsiTheme="minorHAnsi"/>
          <w:szCs w:val="24"/>
        </w:rPr>
        <w:t>Gross Domestic Product (GDP) Growth:</w:t>
      </w:r>
    </w:p>
    <w:p w14:paraId="53FE522C" w14:textId="77777777" w:rsidR="00FC2BA4" w:rsidRDefault="00FC2BA4" w:rsidP="00FC2BA4">
      <w:pPr>
        <w:pStyle w:val="Bold"/>
        <w:rPr>
          <w:rFonts w:asciiTheme="minorHAnsi" w:hAnsiTheme="minorHAnsi"/>
          <w:b w:val="0"/>
          <w:bCs w:val="0"/>
          <w:szCs w:val="24"/>
        </w:rPr>
      </w:pPr>
      <w:r w:rsidRPr="00FC2BA4">
        <w:rPr>
          <w:rFonts w:asciiTheme="minorHAnsi" w:hAnsiTheme="minorHAnsi"/>
          <w:b w:val="0"/>
          <w:bCs w:val="0"/>
          <w:szCs w:val="24"/>
        </w:rPr>
        <w:t>GDP growth is expected to slow from 3.84% in 2024 to 3.20% in 2025, suggesting a potential deceleration in economic activity. Slower GDP growth may dampen corporate earnings projections, although the easing inflation environment could offset some of these pressures.</w:t>
      </w:r>
    </w:p>
    <w:p w14:paraId="2645B2F7" w14:textId="5207BBE4" w:rsidR="00146D7D" w:rsidRPr="00FC2BA4" w:rsidRDefault="00146D7D" w:rsidP="00FC2BA4">
      <w:pPr>
        <w:pStyle w:val="Bold"/>
        <w:rPr>
          <w:rFonts w:asciiTheme="minorHAnsi" w:hAnsiTheme="minorHAnsi"/>
          <w:b w:val="0"/>
          <w:bCs w:val="0"/>
          <w:szCs w:val="24"/>
        </w:rPr>
      </w:pPr>
      <w:r w:rsidRPr="00146D7D">
        <w:rPr>
          <w:noProof/>
        </w:rPr>
        <w:drawing>
          <wp:inline distT="0" distB="0" distL="0" distR="0" wp14:anchorId="21836DE6" wp14:editId="26037E6F">
            <wp:extent cx="6364957" cy="2288643"/>
            <wp:effectExtent l="38100" t="38100" r="74295" b="92710"/>
            <wp:docPr id="2072682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7343" cy="23110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1B0710E" w14:textId="77777777" w:rsidR="00146D7D" w:rsidRDefault="00146D7D" w:rsidP="00FC2BA4">
      <w:pPr>
        <w:pStyle w:val="Bold"/>
        <w:rPr>
          <w:b w:val="0"/>
          <w:bCs w:val="0"/>
          <w:sz w:val="32"/>
          <w:szCs w:val="32"/>
        </w:rPr>
      </w:pPr>
    </w:p>
    <w:p w14:paraId="6A9C4DB6" w14:textId="6F163306" w:rsidR="00FC2BA4" w:rsidRPr="00FC2BA4" w:rsidRDefault="00FC2BA4" w:rsidP="00C575DE">
      <w:pPr>
        <w:pStyle w:val="Heading2"/>
      </w:pPr>
      <w:bookmarkStart w:id="12" w:name="_Toc201960413"/>
      <w:r w:rsidRPr="00FC2BA4">
        <w:t>Stock Market Implications</w:t>
      </w:r>
      <w:bookmarkEnd w:id="12"/>
    </w:p>
    <w:p w14:paraId="71C8E3E8" w14:textId="77777777" w:rsidR="00FC2BA4" w:rsidRDefault="00FC2BA4" w:rsidP="00FC2BA4">
      <w:pPr>
        <w:pStyle w:val="Bold"/>
        <w:numPr>
          <w:ilvl w:val="0"/>
          <w:numId w:val="3"/>
        </w:numPr>
        <w:rPr>
          <w:rFonts w:asciiTheme="minorHAnsi" w:hAnsiTheme="minorHAnsi"/>
          <w:b w:val="0"/>
          <w:bCs w:val="0"/>
          <w:szCs w:val="24"/>
        </w:rPr>
      </w:pPr>
      <w:r w:rsidRPr="00FC2BA4">
        <w:rPr>
          <w:rFonts w:asciiTheme="minorHAnsi" w:hAnsiTheme="minorHAnsi"/>
          <w:b w:val="0"/>
          <w:bCs w:val="0"/>
          <w:szCs w:val="24"/>
        </w:rPr>
        <w:t>Positive Outlook: The expected decline in inflation could improve investor confidence and increase disposable income, which is favorable for sectors like consumer goods, manufacturing, and financial services.</w:t>
      </w:r>
    </w:p>
    <w:p w14:paraId="50F30685" w14:textId="77777777" w:rsidR="00FC2BA4" w:rsidRDefault="00FC2BA4" w:rsidP="00FC2BA4">
      <w:pPr>
        <w:pStyle w:val="Bold"/>
        <w:numPr>
          <w:ilvl w:val="0"/>
          <w:numId w:val="3"/>
        </w:numPr>
        <w:rPr>
          <w:rFonts w:asciiTheme="minorHAnsi" w:hAnsiTheme="minorHAnsi"/>
          <w:b w:val="0"/>
          <w:bCs w:val="0"/>
          <w:szCs w:val="24"/>
        </w:rPr>
      </w:pPr>
      <w:r w:rsidRPr="00FC2BA4">
        <w:rPr>
          <w:rFonts w:asciiTheme="minorHAnsi" w:hAnsiTheme="minorHAnsi"/>
          <w:b w:val="0"/>
          <w:bCs w:val="0"/>
          <w:szCs w:val="24"/>
        </w:rPr>
        <w:t>Risk Factors: Continued exchange rate depreciation and high interest rates may discourage foreign portfolio inflows and impact sectors heavily reliant on imports.</w:t>
      </w:r>
    </w:p>
    <w:p w14:paraId="2CDD0117" w14:textId="07F80561" w:rsidR="00FC2BA4" w:rsidRPr="00FC2BA4" w:rsidRDefault="00FC2BA4" w:rsidP="00FC2BA4">
      <w:pPr>
        <w:pStyle w:val="Bold"/>
        <w:numPr>
          <w:ilvl w:val="0"/>
          <w:numId w:val="3"/>
        </w:numPr>
        <w:rPr>
          <w:rFonts w:asciiTheme="minorHAnsi" w:hAnsiTheme="minorHAnsi"/>
          <w:b w:val="0"/>
          <w:bCs w:val="0"/>
          <w:szCs w:val="24"/>
        </w:rPr>
      </w:pPr>
      <w:r w:rsidRPr="00FC2BA4">
        <w:rPr>
          <w:rFonts w:asciiTheme="minorHAnsi" w:hAnsiTheme="minorHAnsi"/>
          <w:b w:val="0"/>
          <w:bCs w:val="0"/>
          <w:szCs w:val="24"/>
        </w:rPr>
        <w:t>Overall: The Nigerian stock market in 2025 may experience a cautiously optimistic environment, balancing between macroeconomic adjustments and sector-specific opportunities.</w:t>
      </w:r>
    </w:p>
    <w:p w14:paraId="347FD7E9" w14:textId="77777777" w:rsidR="001F4763" w:rsidRDefault="001F4763" w:rsidP="001F4763"/>
    <w:p w14:paraId="4C6BB630" w14:textId="58183A42" w:rsidR="001F4763" w:rsidRPr="001F4763" w:rsidRDefault="001F4763" w:rsidP="00C575DE">
      <w:pPr>
        <w:pStyle w:val="Heading2"/>
      </w:pPr>
      <w:bookmarkStart w:id="13" w:name="_Toc201960414"/>
      <w:r w:rsidRPr="001F4763">
        <w:t>Investment Opportunities</w:t>
      </w:r>
      <w:bookmarkEnd w:id="13"/>
    </w:p>
    <w:p w14:paraId="3AE5DAFC" w14:textId="28736366" w:rsidR="001F4763" w:rsidRPr="001F4763" w:rsidRDefault="001F4763" w:rsidP="001F4763">
      <w:pPr>
        <w:pStyle w:val="ListParagraph"/>
        <w:numPr>
          <w:ilvl w:val="0"/>
          <w:numId w:val="4"/>
        </w:numPr>
        <w:rPr>
          <w:b/>
          <w:bCs/>
        </w:rPr>
      </w:pPr>
      <w:r w:rsidRPr="001F4763">
        <w:rPr>
          <w:b/>
          <w:bCs/>
        </w:rPr>
        <w:t>Consumer Goods &amp; FMCG Sector</w:t>
      </w:r>
    </w:p>
    <w:p w14:paraId="12DE412E" w14:textId="77777777" w:rsidR="001F4763" w:rsidRPr="001F4763" w:rsidRDefault="001F4763" w:rsidP="001F4763">
      <w:r w:rsidRPr="001F4763">
        <w:rPr>
          <w:b/>
          <w:bCs/>
        </w:rPr>
        <w:t>Rationale</w:t>
      </w:r>
      <w:r w:rsidRPr="001F4763">
        <w:t>: The anticipated reduction in inflation is likely to improve consumer purchasing power, supporting a recovery in consumer spending.</w:t>
      </w:r>
    </w:p>
    <w:p w14:paraId="1F8C4F71" w14:textId="77777777" w:rsidR="001F4763" w:rsidRDefault="001F4763" w:rsidP="001F4763">
      <w:r w:rsidRPr="001F4763">
        <w:rPr>
          <w:b/>
          <w:bCs/>
        </w:rPr>
        <w:t>Outlook</w:t>
      </w:r>
      <w:r w:rsidRPr="001F4763">
        <w:t>: Companies in food, beverages, and essential consumer products are well-positioned for potential revenue and margin growth.</w:t>
      </w:r>
    </w:p>
    <w:p w14:paraId="7599DEAA" w14:textId="1E6B9052" w:rsidR="001F4763" w:rsidRPr="001F4763" w:rsidRDefault="001F4763" w:rsidP="001F4763">
      <w:pPr>
        <w:pStyle w:val="ListParagraph"/>
        <w:numPr>
          <w:ilvl w:val="0"/>
          <w:numId w:val="4"/>
        </w:numPr>
        <w:rPr>
          <w:b/>
          <w:bCs/>
        </w:rPr>
      </w:pPr>
      <w:r w:rsidRPr="001F4763">
        <w:rPr>
          <w:b/>
          <w:bCs/>
        </w:rPr>
        <w:t>Banking &amp; Financial Services</w:t>
      </w:r>
    </w:p>
    <w:p w14:paraId="3CDFE8AC" w14:textId="77777777" w:rsidR="001F4763" w:rsidRPr="001F4763" w:rsidRDefault="001F4763" w:rsidP="001F4763">
      <w:r w:rsidRPr="001F4763">
        <w:rPr>
          <w:b/>
          <w:bCs/>
        </w:rPr>
        <w:t>Rationale</w:t>
      </w:r>
      <w:r w:rsidRPr="001F4763">
        <w:t>: A stable high-interest environment is expected to sustain strong interest income for banks, especially those with minimal foreign debt exposure.</w:t>
      </w:r>
    </w:p>
    <w:p w14:paraId="190070CD" w14:textId="77777777" w:rsidR="001F4763" w:rsidRDefault="001F4763" w:rsidP="001F4763">
      <w:r w:rsidRPr="001F4763">
        <w:rPr>
          <w:b/>
          <w:bCs/>
        </w:rPr>
        <w:t>Outlook</w:t>
      </w:r>
      <w:r w:rsidRPr="001F4763">
        <w:t>: Financial institutions with solid balance sheets may outperform, driven by net interest margins and stable asset quality.</w:t>
      </w:r>
    </w:p>
    <w:p w14:paraId="66B31621" w14:textId="35EB253D" w:rsidR="001F4763" w:rsidRPr="001F4763" w:rsidRDefault="001F4763" w:rsidP="001F4763">
      <w:pPr>
        <w:pStyle w:val="ListParagraph"/>
        <w:numPr>
          <w:ilvl w:val="0"/>
          <w:numId w:val="4"/>
        </w:numPr>
        <w:rPr>
          <w:b/>
          <w:bCs/>
        </w:rPr>
      </w:pPr>
      <w:r w:rsidRPr="001F4763">
        <w:rPr>
          <w:b/>
          <w:bCs/>
        </w:rPr>
        <w:t>Export-Oriented Industries</w:t>
      </w:r>
    </w:p>
    <w:p w14:paraId="59BF0EC1" w14:textId="77777777" w:rsidR="001F4763" w:rsidRPr="001F4763" w:rsidRDefault="001F4763" w:rsidP="001F4763">
      <w:r w:rsidRPr="001F4763">
        <w:rPr>
          <w:b/>
          <w:bCs/>
        </w:rPr>
        <w:t>Rationale</w:t>
      </w:r>
      <w:r w:rsidRPr="001F4763">
        <w:t>: Naira depreciation enhances the competitiveness of Nigerian exports.</w:t>
      </w:r>
    </w:p>
    <w:p w14:paraId="28B1A104" w14:textId="77777777" w:rsidR="001F4763" w:rsidRDefault="001F4763" w:rsidP="001F4763">
      <w:r w:rsidRPr="001F4763">
        <w:rPr>
          <w:b/>
          <w:bCs/>
        </w:rPr>
        <w:t>Outlook</w:t>
      </w:r>
      <w:r w:rsidRPr="001F4763">
        <w:t>: Sectors such as agriculture, manufacturing for export, and oil &amp; gas may benefit from favorable exchange dynamics.</w:t>
      </w:r>
    </w:p>
    <w:p w14:paraId="6D27BC21" w14:textId="4FAC8686" w:rsidR="001F4763" w:rsidRPr="001F4763" w:rsidRDefault="001F4763" w:rsidP="001F4763">
      <w:pPr>
        <w:pStyle w:val="ListParagraph"/>
        <w:numPr>
          <w:ilvl w:val="0"/>
          <w:numId w:val="4"/>
        </w:numPr>
        <w:rPr>
          <w:b/>
          <w:bCs/>
        </w:rPr>
      </w:pPr>
      <w:r w:rsidRPr="001F4763">
        <w:rPr>
          <w:b/>
          <w:bCs/>
        </w:rPr>
        <w:t>Value and Undervalued Stocks</w:t>
      </w:r>
    </w:p>
    <w:p w14:paraId="67DFD6FE" w14:textId="77777777" w:rsidR="001F4763" w:rsidRPr="001F4763" w:rsidRDefault="001F4763" w:rsidP="001F4763">
      <w:r w:rsidRPr="001F4763">
        <w:rPr>
          <w:b/>
          <w:bCs/>
        </w:rPr>
        <w:t>Rationale</w:t>
      </w:r>
      <w:r w:rsidRPr="001F4763">
        <w:t>: Historically, underperforming stocks can present future upside potential.</w:t>
      </w:r>
    </w:p>
    <w:p w14:paraId="07C3B2C9" w14:textId="77777777" w:rsidR="001F4763" w:rsidRPr="001F4763" w:rsidRDefault="001F4763" w:rsidP="001F4763">
      <w:r w:rsidRPr="001F4763">
        <w:rPr>
          <w:b/>
          <w:bCs/>
        </w:rPr>
        <w:t>Outlook</w:t>
      </w:r>
      <w:r w:rsidRPr="001F4763">
        <w:t>: Selective investment in fundamentally sound but currently discounted stocks could offer long-term value.</w:t>
      </w:r>
    </w:p>
    <w:p w14:paraId="79AE7812" w14:textId="77777777" w:rsidR="001F4763" w:rsidRPr="001F4763" w:rsidRDefault="001F4763" w:rsidP="001F4763"/>
    <w:p w14:paraId="4C63DB97" w14:textId="77777777" w:rsidR="00C81A6C" w:rsidRDefault="00C81A6C" w:rsidP="00C575DE">
      <w:pPr>
        <w:pStyle w:val="Heading2"/>
      </w:pPr>
    </w:p>
    <w:p w14:paraId="585F5F4D" w14:textId="44675CE7" w:rsidR="001F4763" w:rsidRPr="001F4763" w:rsidRDefault="001F4763" w:rsidP="00C575DE">
      <w:pPr>
        <w:pStyle w:val="Heading2"/>
        <w:rPr>
          <w:sz w:val="32"/>
          <w:szCs w:val="28"/>
        </w:rPr>
      </w:pPr>
      <w:bookmarkStart w:id="14" w:name="_Toc201960415"/>
      <w:r w:rsidRPr="001F4763">
        <w:rPr>
          <w:sz w:val="32"/>
          <w:szCs w:val="28"/>
        </w:rPr>
        <w:t>Key Investment Risks</w:t>
      </w:r>
      <w:bookmarkEnd w:id="14"/>
    </w:p>
    <w:p w14:paraId="3FF4FD44" w14:textId="0C7EEDEB" w:rsidR="001F4763" w:rsidRPr="00C81A6C" w:rsidRDefault="001F4763" w:rsidP="00C81A6C">
      <w:pPr>
        <w:pStyle w:val="ListParagraph"/>
        <w:numPr>
          <w:ilvl w:val="0"/>
          <w:numId w:val="4"/>
        </w:numPr>
        <w:rPr>
          <w:b/>
          <w:bCs/>
        </w:rPr>
      </w:pPr>
      <w:r w:rsidRPr="00C81A6C">
        <w:rPr>
          <w:b/>
          <w:bCs/>
        </w:rPr>
        <w:t>Currency Depreciation</w:t>
      </w:r>
    </w:p>
    <w:p w14:paraId="202902B7" w14:textId="77777777" w:rsidR="00C81A6C" w:rsidRDefault="001F4763" w:rsidP="001F4763">
      <w:r w:rsidRPr="001F4763">
        <w:t>The continued weakening of the naira may erode returns for foreign investors and create pricing volatility for import-dependent sectors.</w:t>
      </w:r>
    </w:p>
    <w:p w14:paraId="6E957DEA" w14:textId="77777777" w:rsidR="00C81A6C" w:rsidRPr="00C81A6C" w:rsidRDefault="001F4763" w:rsidP="001F4763">
      <w:pPr>
        <w:pStyle w:val="ListParagraph"/>
        <w:numPr>
          <w:ilvl w:val="0"/>
          <w:numId w:val="4"/>
        </w:numPr>
        <w:rPr>
          <w:b/>
          <w:bCs/>
        </w:rPr>
      </w:pPr>
      <w:r w:rsidRPr="00C81A6C">
        <w:rPr>
          <w:b/>
          <w:bCs/>
        </w:rPr>
        <w:t>Prolonged Tight Monetary Policy</w:t>
      </w:r>
    </w:p>
    <w:p w14:paraId="2310A810" w14:textId="77777777" w:rsidR="00C81A6C" w:rsidRDefault="001F4763" w:rsidP="001F4763">
      <w:r w:rsidRPr="001F4763">
        <w:t>Sustained high interest rates may constrain borrowing, increase financing costs for businesses, and dampen capital market activities.</w:t>
      </w:r>
    </w:p>
    <w:p w14:paraId="217CEDAE" w14:textId="4DB13A26" w:rsidR="001F4763" w:rsidRPr="001F33CF" w:rsidRDefault="001F4763" w:rsidP="00C81A6C">
      <w:pPr>
        <w:pStyle w:val="ListParagraph"/>
        <w:numPr>
          <w:ilvl w:val="0"/>
          <w:numId w:val="4"/>
        </w:numPr>
        <w:rPr>
          <w:b/>
          <w:bCs/>
        </w:rPr>
      </w:pPr>
      <w:r w:rsidRPr="001F33CF">
        <w:rPr>
          <w:b/>
          <w:bCs/>
        </w:rPr>
        <w:t>Slowing Economic Growth</w:t>
      </w:r>
    </w:p>
    <w:p w14:paraId="2F540665" w14:textId="77777777" w:rsidR="00C81A6C" w:rsidRDefault="001F4763" w:rsidP="001F4763">
      <w:r w:rsidRPr="001F4763">
        <w:t>A projected GDP deceleration may pressure corporate earnings, particularly in cyclical industries.</w:t>
      </w:r>
    </w:p>
    <w:p w14:paraId="7BA73882" w14:textId="21A0C28B" w:rsidR="001F4763" w:rsidRPr="001F33CF" w:rsidRDefault="001F4763" w:rsidP="00C81A6C">
      <w:pPr>
        <w:pStyle w:val="ListParagraph"/>
        <w:numPr>
          <w:ilvl w:val="0"/>
          <w:numId w:val="4"/>
        </w:numPr>
        <w:rPr>
          <w:b/>
          <w:bCs/>
        </w:rPr>
      </w:pPr>
      <w:r w:rsidRPr="001F33CF">
        <w:rPr>
          <w:b/>
          <w:bCs/>
        </w:rPr>
        <w:t>External Vulnerabilities</w:t>
      </w:r>
    </w:p>
    <w:p w14:paraId="1B2AF092" w14:textId="77777777" w:rsidR="001F4763" w:rsidRPr="001F4763" w:rsidRDefault="001F4763" w:rsidP="001F4763">
      <w:r w:rsidRPr="001F4763">
        <w:t>Nigeria remains exposed to fluctuations in global oil prices, which can impact fiscal stability, exchange rates, and market liquidity.</w:t>
      </w:r>
    </w:p>
    <w:p w14:paraId="595BE09D" w14:textId="77777777" w:rsidR="001F4763" w:rsidRPr="001F4763" w:rsidRDefault="001F4763" w:rsidP="001F4763"/>
    <w:p w14:paraId="1F28B4FF" w14:textId="07F506C4" w:rsidR="001F4763" w:rsidRPr="001F4763" w:rsidRDefault="001F4763" w:rsidP="00C575DE">
      <w:pPr>
        <w:pStyle w:val="Heading2"/>
      </w:pPr>
      <w:bookmarkStart w:id="15" w:name="_Toc201960416"/>
      <w:r w:rsidRPr="001F4763">
        <w:t>Strategic Recommendations</w:t>
      </w:r>
      <w:bookmarkEnd w:id="15"/>
    </w:p>
    <w:p w14:paraId="5A99D85E" w14:textId="77777777" w:rsidR="001F33CF" w:rsidRDefault="001F4763" w:rsidP="001F4763">
      <w:pPr>
        <w:pStyle w:val="ListParagraph"/>
        <w:numPr>
          <w:ilvl w:val="0"/>
          <w:numId w:val="5"/>
        </w:numPr>
      </w:pPr>
      <w:r w:rsidRPr="001F33CF">
        <w:rPr>
          <w:b/>
          <w:bCs/>
        </w:rPr>
        <w:t>Sector Rotation</w:t>
      </w:r>
      <w:r w:rsidRPr="001F4763">
        <w:t>: Focus on consumer, banking, and export-driven sectors with resilient growth prospects.</w:t>
      </w:r>
    </w:p>
    <w:p w14:paraId="014380CF" w14:textId="77777777" w:rsidR="001F33CF" w:rsidRDefault="001F4763" w:rsidP="001F4763">
      <w:pPr>
        <w:pStyle w:val="ListParagraph"/>
        <w:numPr>
          <w:ilvl w:val="0"/>
          <w:numId w:val="5"/>
        </w:numPr>
      </w:pPr>
      <w:r w:rsidRPr="001F33CF">
        <w:rPr>
          <w:b/>
          <w:bCs/>
        </w:rPr>
        <w:t>Currency Hedging</w:t>
      </w:r>
      <w:r w:rsidRPr="001F4763">
        <w:t>: Foreign investors should consider hedging strategies to mitigate exchange rate risks.</w:t>
      </w:r>
    </w:p>
    <w:p w14:paraId="7D5245E0" w14:textId="77777777" w:rsidR="001F33CF" w:rsidRDefault="001F4763" w:rsidP="001F4763">
      <w:pPr>
        <w:pStyle w:val="ListParagraph"/>
        <w:numPr>
          <w:ilvl w:val="0"/>
          <w:numId w:val="5"/>
        </w:numPr>
      </w:pPr>
      <w:r w:rsidRPr="001F33CF">
        <w:rPr>
          <w:b/>
          <w:bCs/>
        </w:rPr>
        <w:t>Quality Stock Selection</w:t>
      </w:r>
      <w:r w:rsidRPr="001F4763">
        <w:t>: Prioritize companies with strong fundamentals, low foreign currency liabilities, and diversified revenue streams.</w:t>
      </w:r>
    </w:p>
    <w:p w14:paraId="2E6914B7" w14:textId="098E5E18" w:rsidR="001F4763" w:rsidRPr="001F4763" w:rsidRDefault="001F4763" w:rsidP="001F4763">
      <w:pPr>
        <w:pStyle w:val="ListParagraph"/>
        <w:numPr>
          <w:ilvl w:val="0"/>
          <w:numId w:val="5"/>
        </w:numPr>
      </w:pPr>
      <w:r w:rsidRPr="001F33CF">
        <w:rPr>
          <w:b/>
          <w:bCs/>
        </w:rPr>
        <w:t>Inflation Monitoring</w:t>
      </w:r>
      <w:r w:rsidRPr="001F4763">
        <w:t>: Investors should track inflation trends closely to gauge the sustainability of the expected downtrend.</w:t>
      </w:r>
    </w:p>
    <w:p w14:paraId="104C8A06" w14:textId="3FB68D3C" w:rsidR="001F4763" w:rsidRPr="001F4763" w:rsidRDefault="001F33CF" w:rsidP="00C575DE">
      <w:pPr>
        <w:pStyle w:val="Heading2"/>
      </w:pPr>
      <w:bookmarkStart w:id="16" w:name="_Toc201960417"/>
      <w:r w:rsidRPr="001F33CF">
        <w:t>Summary</w:t>
      </w:r>
      <w:bookmarkEnd w:id="16"/>
    </w:p>
    <w:p w14:paraId="6357BDFA" w14:textId="3E27503D" w:rsidR="001F4763" w:rsidRDefault="001F4763" w:rsidP="001F4763">
      <w:r w:rsidRPr="001F4763">
        <w:t>The Nigerian stock market in 2025 presents a cautiously optimistic investment landscape. While macroeconomic adjustments</w:t>
      </w:r>
      <w:r w:rsidR="001F33CF">
        <w:t xml:space="preserve"> </w:t>
      </w:r>
      <w:r w:rsidRPr="001F4763">
        <w:t>particularly easing inflation</w:t>
      </w:r>
      <w:r w:rsidR="001F33CF">
        <w:t xml:space="preserve"> </w:t>
      </w:r>
      <w:r w:rsidR="001F33CF" w:rsidRPr="001F4763">
        <w:t>offers</w:t>
      </w:r>
      <w:r w:rsidRPr="001F4763">
        <w:t xml:space="preserve"> potential upside, currency pressures and moderate GDP growth necessitate a selective and risk-conscious approach. Investors who carefully position their portfolios to capitalize on sectoral strengths while managing currency and monetary policy risks are likely to find value in the evolving Nigerian market.</w:t>
      </w:r>
    </w:p>
    <w:p w14:paraId="1425E051" w14:textId="77777777" w:rsidR="00D4222A" w:rsidRPr="00CC69F5" w:rsidRDefault="00D4222A" w:rsidP="00D4222A">
      <w:pPr>
        <w:pStyle w:val="Bold"/>
        <w:rPr>
          <w:rFonts w:asciiTheme="minorHAnsi" w:hAnsiTheme="minorHAnsi"/>
          <w:b w:val="0"/>
          <w:bCs w:val="0"/>
        </w:rPr>
      </w:pPr>
      <w:r w:rsidRPr="00CC69F5">
        <w:rPr>
          <w:rFonts w:asciiTheme="minorHAnsi" w:hAnsiTheme="minorHAnsi"/>
          <w:b w:val="0"/>
          <w:bCs w:val="0"/>
        </w:rPr>
        <w:t>The stock market performance by sector demonstrates a clear transition between 2024 and 2025.</w:t>
      </w:r>
      <w:r w:rsidRPr="00D4222A">
        <w:rPr>
          <w:rFonts w:asciiTheme="minorHAnsi" w:hAnsiTheme="minorHAnsi"/>
          <w:b w:val="0"/>
          <w:bCs w:val="0"/>
        </w:rPr>
        <w:t xml:space="preserve"> </w:t>
      </w:r>
      <w:r w:rsidRPr="00CC69F5">
        <w:rPr>
          <w:rFonts w:asciiTheme="minorHAnsi" w:hAnsiTheme="minorHAnsi"/>
          <w:b w:val="0"/>
          <w:bCs w:val="0"/>
        </w:rPr>
        <w:t>2024 was characterized by broad-based sector growth, led by Communication Services, Technology, and Consumer Discretionary, supported by investor confidence and favorable market conditions.</w:t>
      </w:r>
    </w:p>
    <w:p w14:paraId="0C1B4C42" w14:textId="77777777" w:rsidR="00D4222A" w:rsidRPr="00D4222A" w:rsidRDefault="00D4222A" w:rsidP="00D4222A">
      <w:pPr>
        <w:pStyle w:val="Bold"/>
        <w:rPr>
          <w:rFonts w:asciiTheme="minorHAnsi" w:hAnsiTheme="minorHAnsi"/>
          <w:b w:val="0"/>
          <w:bCs w:val="0"/>
        </w:rPr>
      </w:pPr>
      <w:r w:rsidRPr="00CC69F5">
        <w:rPr>
          <w:rFonts w:asciiTheme="minorHAnsi" w:hAnsiTheme="minorHAnsi"/>
          <w:b w:val="0"/>
          <w:bCs w:val="0"/>
        </w:rPr>
        <w:lastRenderedPageBreak/>
        <w:t>2025 reveals a defensive shift, with investors moving away from growth sectors into more stable, essential sectors as macroeconomic uncertainties persisted.</w:t>
      </w:r>
    </w:p>
    <w:p w14:paraId="0E4948BC" w14:textId="77777777" w:rsidR="00D4222A" w:rsidRDefault="00D4222A" w:rsidP="00D4222A">
      <w:pPr>
        <w:pStyle w:val="Bold"/>
        <w:rPr>
          <w:rFonts w:asciiTheme="minorHAnsi" w:hAnsiTheme="minorHAnsi"/>
          <w:b w:val="0"/>
          <w:bCs w:val="0"/>
        </w:rPr>
      </w:pPr>
      <w:r w:rsidRPr="00CC69F5">
        <w:rPr>
          <w:rFonts w:asciiTheme="minorHAnsi" w:hAnsiTheme="minorHAnsi"/>
          <w:b w:val="0"/>
          <w:bCs w:val="0"/>
        </w:rPr>
        <w:t>This evolving sectoral landscape highlights the importance of sector rotation strategies and selective stock picking in navigating the Nigerian equity market in 2025.</w:t>
      </w:r>
    </w:p>
    <w:p w14:paraId="4447F237" w14:textId="77777777" w:rsidR="00BB1B30" w:rsidRDefault="00BB1B30" w:rsidP="00D4222A">
      <w:pPr>
        <w:pStyle w:val="Bold"/>
        <w:rPr>
          <w:rFonts w:asciiTheme="minorHAnsi" w:hAnsiTheme="minorHAnsi"/>
          <w:b w:val="0"/>
          <w:bCs w:val="0"/>
        </w:rPr>
      </w:pPr>
    </w:p>
    <w:p w14:paraId="5B162A95" w14:textId="0B7CA7D3" w:rsidR="00BB1B30" w:rsidRDefault="00BB1B30" w:rsidP="00C575DE">
      <w:pPr>
        <w:pStyle w:val="Heading2"/>
      </w:pPr>
      <w:bookmarkStart w:id="17" w:name="_Toc201960418"/>
      <w:r w:rsidRPr="00BB1B30">
        <w:t>References</w:t>
      </w:r>
      <w:bookmarkEnd w:id="17"/>
    </w:p>
    <w:p w14:paraId="0B424082" w14:textId="77777777" w:rsidR="00BB1B30" w:rsidRPr="00BB1B30" w:rsidRDefault="00BB1B30" w:rsidP="00BB1B30">
      <w:pPr>
        <w:pStyle w:val="Bold"/>
        <w:numPr>
          <w:ilvl w:val="0"/>
          <w:numId w:val="14"/>
        </w:numPr>
        <w:rPr>
          <w:rFonts w:asciiTheme="minorHAnsi" w:hAnsiTheme="minorHAnsi"/>
          <w:b w:val="0"/>
          <w:bCs w:val="0"/>
        </w:rPr>
      </w:pPr>
      <w:r w:rsidRPr="00BB1B30">
        <w:rPr>
          <w:rFonts w:asciiTheme="minorHAnsi" w:hAnsiTheme="minorHAnsi"/>
          <w:b w:val="0"/>
          <w:bCs w:val="0"/>
        </w:rPr>
        <w:t>Nigerian Exchange Group (NGX) – Sectoral Stock Performance Reports, 2024–2025</w:t>
      </w:r>
    </w:p>
    <w:p w14:paraId="7C0BEE4A" w14:textId="4A76E9F8" w:rsidR="00BB1B30" w:rsidRPr="00BB1B30" w:rsidRDefault="00BB1B30" w:rsidP="00BB1B30">
      <w:pPr>
        <w:pStyle w:val="Bold"/>
        <w:numPr>
          <w:ilvl w:val="0"/>
          <w:numId w:val="14"/>
        </w:numPr>
        <w:rPr>
          <w:rFonts w:asciiTheme="minorHAnsi" w:hAnsiTheme="minorHAnsi"/>
          <w:b w:val="0"/>
          <w:bCs w:val="0"/>
        </w:rPr>
      </w:pPr>
      <w:r w:rsidRPr="00BB1B30">
        <w:rPr>
          <w:rFonts w:asciiTheme="minorHAnsi" w:hAnsiTheme="minorHAnsi"/>
          <w:b w:val="0"/>
          <w:bCs w:val="0"/>
        </w:rPr>
        <w:t>Central Bank of Nigeria (CBN) – Monetary Policy Rates and Exchange Rate Data, 2024</w:t>
      </w:r>
    </w:p>
    <w:p w14:paraId="6397FDF6" w14:textId="77777777" w:rsidR="00BB1B30" w:rsidRDefault="00BB1B30" w:rsidP="00BB1B30">
      <w:pPr>
        <w:pStyle w:val="Bold"/>
        <w:numPr>
          <w:ilvl w:val="0"/>
          <w:numId w:val="14"/>
        </w:numPr>
        <w:rPr>
          <w:rFonts w:asciiTheme="minorHAnsi" w:hAnsiTheme="minorHAnsi"/>
          <w:b w:val="0"/>
          <w:bCs w:val="0"/>
        </w:rPr>
      </w:pPr>
      <w:r w:rsidRPr="00BB1B30">
        <w:rPr>
          <w:rFonts w:asciiTheme="minorHAnsi" w:hAnsiTheme="minorHAnsi"/>
          <w:b w:val="0"/>
          <w:bCs w:val="0"/>
        </w:rPr>
        <w:t>FDC Monthly Economic Review, 2025</w:t>
      </w:r>
    </w:p>
    <w:p w14:paraId="1DCB50EC" w14:textId="77777777" w:rsidR="00BB1B30" w:rsidRDefault="00BB1B30" w:rsidP="00BB1B30">
      <w:pPr>
        <w:pStyle w:val="Bold"/>
        <w:numPr>
          <w:ilvl w:val="0"/>
          <w:numId w:val="14"/>
        </w:numPr>
        <w:rPr>
          <w:rFonts w:asciiTheme="minorHAnsi" w:hAnsiTheme="minorHAnsi"/>
          <w:b w:val="0"/>
          <w:bCs w:val="0"/>
        </w:rPr>
      </w:pPr>
      <w:r w:rsidRPr="00BB1B30">
        <w:rPr>
          <w:rFonts w:asciiTheme="minorHAnsi" w:hAnsiTheme="minorHAnsi"/>
          <w:b w:val="0"/>
          <w:bCs w:val="0"/>
        </w:rPr>
        <w:t>Trading Economics – Market Data Snapshots (Accessed June 2025)</w:t>
      </w:r>
    </w:p>
    <w:p w14:paraId="2846141A" w14:textId="4C3B662B" w:rsidR="00BB1B30" w:rsidRPr="00BB1B30" w:rsidRDefault="00BB1B30" w:rsidP="00BB1B30">
      <w:pPr>
        <w:pStyle w:val="Bold"/>
        <w:numPr>
          <w:ilvl w:val="0"/>
          <w:numId w:val="14"/>
        </w:numPr>
        <w:rPr>
          <w:rFonts w:asciiTheme="minorHAnsi" w:hAnsiTheme="minorHAnsi"/>
          <w:b w:val="0"/>
          <w:bCs w:val="0"/>
        </w:rPr>
      </w:pPr>
      <w:r w:rsidRPr="00BB1B30">
        <w:rPr>
          <w:rFonts w:asciiTheme="minorHAnsi" w:hAnsiTheme="minorHAnsi"/>
          <w:b w:val="0"/>
          <w:bCs w:val="0"/>
        </w:rPr>
        <w:t>Bloomberg – Sectoral Market Performance</w:t>
      </w:r>
    </w:p>
    <w:p w14:paraId="2C781616" w14:textId="77777777" w:rsidR="00D4222A" w:rsidRPr="007310CC" w:rsidRDefault="00D4222A" w:rsidP="00D4222A">
      <w:pPr>
        <w:pStyle w:val="Bold"/>
        <w:rPr>
          <w:rFonts w:asciiTheme="minorHAnsi" w:hAnsiTheme="minorHAnsi"/>
          <w:b w:val="0"/>
          <w:bCs w:val="0"/>
        </w:rPr>
      </w:pPr>
    </w:p>
    <w:p w14:paraId="15F40FE7" w14:textId="77777777" w:rsidR="00D4222A" w:rsidRDefault="00D4222A" w:rsidP="00D4222A">
      <w:pPr>
        <w:pStyle w:val="Bold"/>
        <w:rPr>
          <w:b w:val="0"/>
          <w:bCs w:val="0"/>
        </w:rPr>
      </w:pPr>
    </w:p>
    <w:sectPr w:rsidR="00D4222A" w:rsidSect="00A73656">
      <w:pgSz w:w="12240" w:h="15840" w:code="1"/>
      <w:pgMar w:top="1440" w:right="1152" w:bottom="720" w:left="1152"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11FC2" w14:textId="77777777" w:rsidR="00C6288E" w:rsidRDefault="00C6288E" w:rsidP="00E14577">
      <w:pPr>
        <w:spacing w:before="0" w:line="240" w:lineRule="auto"/>
      </w:pPr>
      <w:r>
        <w:separator/>
      </w:r>
    </w:p>
  </w:endnote>
  <w:endnote w:type="continuationSeparator" w:id="0">
    <w:p w14:paraId="7AD29719" w14:textId="77777777" w:rsidR="00C6288E" w:rsidRDefault="00C6288E" w:rsidP="00E145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627DA" w14:textId="77777777" w:rsidR="00C6288E" w:rsidRDefault="00C6288E" w:rsidP="00E14577">
      <w:pPr>
        <w:spacing w:before="0" w:line="240" w:lineRule="auto"/>
      </w:pPr>
      <w:r>
        <w:separator/>
      </w:r>
    </w:p>
  </w:footnote>
  <w:footnote w:type="continuationSeparator" w:id="0">
    <w:p w14:paraId="6A9851D4" w14:textId="77777777" w:rsidR="00C6288E" w:rsidRDefault="00C6288E" w:rsidP="00E145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6455145"/>
      <w:docPartObj>
        <w:docPartGallery w:val="Page Numbers (Top of Page)"/>
        <w:docPartUnique/>
      </w:docPartObj>
    </w:sdtPr>
    <w:sdtEndPr>
      <w:rPr>
        <w:rStyle w:val="PageNumber"/>
      </w:rPr>
    </w:sdtEndPr>
    <w:sdtContent>
      <w:p w14:paraId="2A16C10E" w14:textId="0F7FDEEC" w:rsidR="00E14577" w:rsidRDefault="00E14577" w:rsidP="00A62354">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sidR="00A47367">
          <w:rPr>
            <w:rStyle w:val="PageNumber"/>
            <w:noProof/>
          </w:rPr>
          <w:t>2</w:t>
        </w:r>
        <w:r>
          <w:rPr>
            <w:rStyle w:val="PageNumber"/>
          </w:rPr>
          <w:fldChar w:fldCharType="end"/>
        </w:r>
      </w:p>
    </w:sdtContent>
  </w:sdt>
  <w:p w14:paraId="45F8F51A" w14:textId="77777777" w:rsidR="00E14577" w:rsidRDefault="00E14577" w:rsidP="00E1457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01513015"/>
      <w:docPartObj>
        <w:docPartGallery w:val="Page Numbers (Top of Page)"/>
        <w:docPartUnique/>
      </w:docPartObj>
    </w:sdtPr>
    <w:sdtEndPr>
      <w:rPr>
        <w:rStyle w:val="PageNumber"/>
      </w:rPr>
    </w:sdtEndPr>
    <w:sdtContent>
      <w:p w14:paraId="737EF218" w14:textId="77777777" w:rsidR="00E14577" w:rsidRDefault="00E14577" w:rsidP="00E14577">
        <w:pPr>
          <w:pStyle w:val="Footer"/>
          <w:rPr>
            <w:rStyle w:val="PageNumber"/>
          </w:rPr>
        </w:pPr>
        <w:r>
          <w:rPr>
            <w:noProof/>
            <w14:ligatures w14:val="standardContextual"/>
          </w:rPr>
          <mc:AlternateContent>
            <mc:Choice Requires="wps">
              <w:drawing>
                <wp:anchor distT="0" distB="0" distL="114300" distR="114300" simplePos="0" relativeHeight="251658240" behindDoc="1" locked="1" layoutInCell="1" allowOverlap="1" wp14:anchorId="4DF99ECB" wp14:editId="7C4DACA1">
                  <wp:simplePos x="0" y="0"/>
                  <wp:positionH relativeFrom="column">
                    <wp:posOffset>-914400</wp:posOffset>
                  </wp:positionH>
                  <wp:positionV relativeFrom="paragraph">
                    <wp:posOffset>-265430</wp:posOffset>
                  </wp:positionV>
                  <wp:extent cx="1700784" cy="640080"/>
                  <wp:effectExtent l="0" t="0" r="0" b="7620"/>
                  <wp:wrapNone/>
                  <wp:docPr id="1130146015"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700784" cy="64008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0BD5" id="Rectangle 1" o:spid="_x0000_s1026" alt="&quot;&quot;" style="position:absolute;margin-left:-1in;margin-top:-20.9pt;width:133.9pt;height:5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" fillcolor="#fde700 [3206]" stroked="f" strokeweight="1pt">
                  <w10:anchorlock/>
                </v:rect>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1A8AB6" w14:textId="77777777" w:rsidR="00E14577" w:rsidRDefault="00E14577" w:rsidP="00E1457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5DE66A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A2BE1"/>
    <w:multiLevelType w:val="hybridMultilevel"/>
    <w:tmpl w:val="AADAE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4329F"/>
    <w:multiLevelType w:val="hybridMultilevel"/>
    <w:tmpl w:val="1DAC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D7EC3"/>
    <w:multiLevelType w:val="hybridMultilevel"/>
    <w:tmpl w:val="B044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F2AFD"/>
    <w:multiLevelType w:val="hybridMultilevel"/>
    <w:tmpl w:val="89027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D84DFB"/>
    <w:multiLevelType w:val="hybridMultilevel"/>
    <w:tmpl w:val="65C4AD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0536C"/>
    <w:multiLevelType w:val="hybridMultilevel"/>
    <w:tmpl w:val="EB082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C30C3C"/>
    <w:multiLevelType w:val="hybridMultilevel"/>
    <w:tmpl w:val="13AAE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2122D"/>
    <w:multiLevelType w:val="hybridMultilevel"/>
    <w:tmpl w:val="152EF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580402"/>
    <w:multiLevelType w:val="hybridMultilevel"/>
    <w:tmpl w:val="BB869A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EE11E2"/>
    <w:multiLevelType w:val="hybridMultilevel"/>
    <w:tmpl w:val="9D147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C59DC"/>
    <w:multiLevelType w:val="multilevel"/>
    <w:tmpl w:val="9BD020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987D1C"/>
    <w:multiLevelType w:val="hybridMultilevel"/>
    <w:tmpl w:val="10E22B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32836"/>
    <w:multiLevelType w:val="hybridMultilevel"/>
    <w:tmpl w:val="0062E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7405310">
    <w:abstractNumId w:val="11"/>
  </w:num>
  <w:num w:numId="2" w16cid:durableId="1276593716">
    <w:abstractNumId w:val="0"/>
  </w:num>
  <w:num w:numId="3" w16cid:durableId="701828364">
    <w:abstractNumId w:val="8"/>
  </w:num>
  <w:num w:numId="4" w16cid:durableId="1911116925">
    <w:abstractNumId w:val="5"/>
  </w:num>
  <w:num w:numId="5" w16cid:durableId="1237588130">
    <w:abstractNumId w:val="10"/>
  </w:num>
  <w:num w:numId="6" w16cid:durableId="866522939">
    <w:abstractNumId w:val="12"/>
  </w:num>
  <w:num w:numId="7" w16cid:durableId="93015949">
    <w:abstractNumId w:val="2"/>
  </w:num>
  <w:num w:numId="8" w16cid:durableId="217715911">
    <w:abstractNumId w:val="9"/>
  </w:num>
  <w:num w:numId="9" w16cid:durableId="755591642">
    <w:abstractNumId w:val="3"/>
  </w:num>
  <w:num w:numId="10" w16cid:durableId="975791357">
    <w:abstractNumId w:val="4"/>
  </w:num>
  <w:num w:numId="11" w16cid:durableId="981620627">
    <w:abstractNumId w:val="13"/>
  </w:num>
  <w:num w:numId="12" w16cid:durableId="1608004948">
    <w:abstractNumId w:val="6"/>
  </w:num>
  <w:num w:numId="13" w16cid:durableId="1374187871">
    <w:abstractNumId w:val="7"/>
  </w:num>
  <w:num w:numId="14" w16cid:durableId="346830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121"/>
    <w:rsid w:val="00025455"/>
    <w:rsid w:val="00113F44"/>
    <w:rsid w:val="00127256"/>
    <w:rsid w:val="00146D7D"/>
    <w:rsid w:val="00187C41"/>
    <w:rsid w:val="001D3E25"/>
    <w:rsid w:val="001F33CF"/>
    <w:rsid w:val="001F4763"/>
    <w:rsid w:val="0025158E"/>
    <w:rsid w:val="00275358"/>
    <w:rsid w:val="002A1D15"/>
    <w:rsid w:val="00317EA9"/>
    <w:rsid w:val="00373979"/>
    <w:rsid w:val="00380DD3"/>
    <w:rsid w:val="003C44A7"/>
    <w:rsid w:val="003D0266"/>
    <w:rsid w:val="004109B5"/>
    <w:rsid w:val="00421A37"/>
    <w:rsid w:val="004415DA"/>
    <w:rsid w:val="004C6124"/>
    <w:rsid w:val="0050648D"/>
    <w:rsid w:val="0052119A"/>
    <w:rsid w:val="00523A54"/>
    <w:rsid w:val="00542955"/>
    <w:rsid w:val="00546F8C"/>
    <w:rsid w:val="005F4751"/>
    <w:rsid w:val="006256E2"/>
    <w:rsid w:val="006843C8"/>
    <w:rsid w:val="006A7E53"/>
    <w:rsid w:val="006B1ECB"/>
    <w:rsid w:val="006C10AC"/>
    <w:rsid w:val="00715D09"/>
    <w:rsid w:val="007310CC"/>
    <w:rsid w:val="007563CF"/>
    <w:rsid w:val="0077342D"/>
    <w:rsid w:val="007825F1"/>
    <w:rsid w:val="00797982"/>
    <w:rsid w:val="007A4940"/>
    <w:rsid w:val="007B5BE3"/>
    <w:rsid w:val="007B7736"/>
    <w:rsid w:val="007F2A50"/>
    <w:rsid w:val="00813C7D"/>
    <w:rsid w:val="00850BD4"/>
    <w:rsid w:val="0085746D"/>
    <w:rsid w:val="008628A3"/>
    <w:rsid w:val="008641D5"/>
    <w:rsid w:val="008927C0"/>
    <w:rsid w:val="008A5444"/>
    <w:rsid w:val="008A6801"/>
    <w:rsid w:val="008D3879"/>
    <w:rsid w:val="008E5020"/>
    <w:rsid w:val="00931508"/>
    <w:rsid w:val="00983B2E"/>
    <w:rsid w:val="009A75F3"/>
    <w:rsid w:val="009B07AD"/>
    <w:rsid w:val="009C36B2"/>
    <w:rsid w:val="009D6230"/>
    <w:rsid w:val="00A22315"/>
    <w:rsid w:val="00A33B91"/>
    <w:rsid w:val="00A44504"/>
    <w:rsid w:val="00A47367"/>
    <w:rsid w:val="00A672D1"/>
    <w:rsid w:val="00A73656"/>
    <w:rsid w:val="00AC4272"/>
    <w:rsid w:val="00AC6909"/>
    <w:rsid w:val="00B341C2"/>
    <w:rsid w:val="00B561B6"/>
    <w:rsid w:val="00B62D04"/>
    <w:rsid w:val="00B671EF"/>
    <w:rsid w:val="00BB1B30"/>
    <w:rsid w:val="00BC6012"/>
    <w:rsid w:val="00BD267F"/>
    <w:rsid w:val="00BE6A85"/>
    <w:rsid w:val="00BE6BF6"/>
    <w:rsid w:val="00BF5288"/>
    <w:rsid w:val="00C575DE"/>
    <w:rsid w:val="00C6288E"/>
    <w:rsid w:val="00C66C47"/>
    <w:rsid w:val="00C72F36"/>
    <w:rsid w:val="00C81A6C"/>
    <w:rsid w:val="00CB11BA"/>
    <w:rsid w:val="00CC69F5"/>
    <w:rsid w:val="00CE0A40"/>
    <w:rsid w:val="00CE16B2"/>
    <w:rsid w:val="00CF1539"/>
    <w:rsid w:val="00D30526"/>
    <w:rsid w:val="00D41196"/>
    <w:rsid w:val="00D4222A"/>
    <w:rsid w:val="00D81EA7"/>
    <w:rsid w:val="00DB5F3C"/>
    <w:rsid w:val="00DB73C8"/>
    <w:rsid w:val="00DB7B3F"/>
    <w:rsid w:val="00DD0409"/>
    <w:rsid w:val="00E14577"/>
    <w:rsid w:val="00E47121"/>
    <w:rsid w:val="00E66F4E"/>
    <w:rsid w:val="00E7435E"/>
    <w:rsid w:val="00E76BAB"/>
    <w:rsid w:val="00E949C0"/>
    <w:rsid w:val="00EA5E9E"/>
    <w:rsid w:val="00F757B0"/>
    <w:rsid w:val="00F944C0"/>
    <w:rsid w:val="00FA3251"/>
    <w:rsid w:val="00FB0D9C"/>
    <w:rsid w:val="00FC2BA4"/>
    <w:rsid w:val="00FF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28554"/>
  <w15:chartTrackingRefBased/>
  <w15:docId w15:val="{BF5A0CB4-480B-464A-B39D-9C70AD20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96"/>
    <w:pPr>
      <w:spacing w:before="120" w:after="0" w:line="312" w:lineRule="auto"/>
    </w:pPr>
    <w:rPr>
      <w:rFonts w:eastAsiaTheme="minorEastAsia"/>
      <w:color w:val="000000" w:themeColor="text1"/>
      <w:kern w:val="0"/>
      <w:szCs w:val="22"/>
      <w14:ligatures w14:val="none"/>
    </w:rPr>
  </w:style>
  <w:style w:type="paragraph" w:styleId="Heading1">
    <w:name w:val="heading 1"/>
    <w:basedOn w:val="Normal"/>
    <w:next w:val="Normal"/>
    <w:link w:val="Heading1Char"/>
    <w:uiPriority w:val="9"/>
    <w:qFormat/>
    <w:rsid w:val="00D41196"/>
    <w:pPr>
      <w:keepNext/>
      <w:keepLines/>
      <w:framePr w:hSpace="180" w:wrap="around" w:vAnchor="page" w:hAnchor="margin" w:y="5119"/>
      <w:spacing w:before="360" w:after="80"/>
      <w:outlineLvl w:val="0"/>
    </w:pPr>
    <w:rPr>
      <w:rFonts w:asciiTheme="majorHAnsi" w:eastAsiaTheme="majorEastAsia" w:hAnsiTheme="majorHAnsi" w:cs="Times New Roman (Headings CS)"/>
      <w:b/>
      <w:caps/>
      <w:color w:val="FFFFFF" w:themeColor="background1"/>
      <w:sz w:val="52"/>
      <w:szCs w:val="40"/>
    </w:rPr>
  </w:style>
  <w:style w:type="paragraph" w:styleId="Heading2">
    <w:name w:val="heading 2"/>
    <w:basedOn w:val="Bold"/>
    <w:next w:val="Normal"/>
    <w:link w:val="Heading2Char"/>
    <w:uiPriority w:val="9"/>
    <w:unhideWhenUsed/>
    <w:qFormat/>
    <w:rsid w:val="00D41196"/>
    <w:pPr>
      <w:outlineLvl w:val="1"/>
    </w:pPr>
    <w:rPr>
      <w:noProof/>
      <w:szCs w:val="40"/>
    </w:rPr>
  </w:style>
  <w:style w:type="paragraph" w:styleId="Heading3">
    <w:name w:val="heading 3"/>
    <w:basedOn w:val="Normal"/>
    <w:next w:val="Normal"/>
    <w:link w:val="Heading3Char"/>
    <w:uiPriority w:val="9"/>
    <w:semiHidden/>
    <w:unhideWhenUsed/>
    <w:qFormat/>
    <w:rsid w:val="00E14577"/>
    <w:pPr>
      <w:keepNext/>
      <w:keepLines/>
      <w:spacing w:before="160" w:after="80"/>
      <w:outlineLvl w:val="2"/>
    </w:pPr>
    <w:rPr>
      <w:rFonts w:eastAsiaTheme="majorEastAsia" w:cstheme="majorBidi"/>
      <w:color w:val="039A6C" w:themeColor="accent1" w:themeShade="BF"/>
      <w:sz w:val="28"/>
      <w:szCs w:val="28"/>
    </w:rPr>
  </w:style>
  <w:style w:type="paragraph" w:styleId="Heading4">
    <w:name w:val="heading 4"/>
    <w:basedOn w:val="Normal"/>
    <w:next w:val="Normal"/>
    <w:link w:val="Heading4Char"/>
    <w:uiPriority w:val="9"/>
    <w:semiHidden/>
    <w:unhideWhenUsed/>
    <w:qFormat/>
    <w:rsid w:val="00E14577"/>
    <w:pPr>
      <w:keepNext/>
      <w:keepLines/>
      <w:spacing w:before="80" w:after="40"/>
      <w:outlineLvl w:val="3"/>
    </w:pPr>
    <w:rPr>
      <w:rFonts w:eastAsiaTheme="majorEastAsia" w:cstheme="majorBidi"/>
      <w:i/>
      <w:iCs/>
      <w:color w:val="039A6C" w:themeColor="accent1" w:themeShade="BF"/>
    </w:rPr>
  </w:style>
  <w:style w:type="paragraph" w:styleId="Heading5">
    <w:name w:val="heading 5"/>
    <w:basedOn w:val="Normal"/>
    <w:next w:val="Normal"/>
    <w:link w:val="Heading5Char"/>
    <w:uiPriority w:val="9"/>
    <w:semiHidden/>
    <w:unhideWhenUsed/>
    <w:qFormat/>
    <w:rsid w:val="00E14577"/>
    <w:pPr>
      <w:keepNext/>
      <w:keepLines/>
      <w:spacing w:before="80" w:after="40"/>
      <w:outlineLvl w:val="4"/>
    </w:pPr>
    <w:rPr>
      <w:rFonts w:eastAsiaTheme="majorEastAsia" w:cstheme="majorBidi"/>
      <w:color w:val="039A6C" w:themeColor="accent1" w:themeShade="BF"/>
    </w:rPr>
  </w:style>
  <w:style w:type="paragraph" w:styleId="Heading6">
    <w:name w:val="heading 6"/>
    <w:basedOn w:val="Normal"/>
    <w:next w:val="Normal"/>
    <w:link w:val="Heading6Char"/>
    <w:uiPriority w:val="9"/>
    <w:semiHidden/>
    <w:unhideWhenUsed/>
    <w:qFormat/>
    <w:rsid w:val="00E1457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57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57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57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196"/>
    <w:rPr>
      <w:rFonts w:asciiTheme="majorHAnsi" w:eastAsiaTheme="majorEastAsia" w:hAnsiTheme="majorHAnsi" w:cs="Times New Roman (Headings CS)"/>
      <w:b/>
      <w:caps/>
      <w:color w:val="FFFFFF" w:themeColor="background1"/>
      <w:kern w:val="0"/>
      <w:sz w:val="52"/>
      <w:szCs w:val="40"/>
      <w14:ligatures w14:val="none"/>
    </w:rPr>
  </w:style>
  <w:style w:type="character" w:customStyle="1" w:styleId="Heading2Char">
    <w:name w:val="Heading 2 Char"/>
    <w:basedOn w:val="DefaultParagraphFont"/>
    <w:link w:val="Heading2"/>
    <w:uiPriority w:val="9"/>
    <w:rsid w:val="00D41196"/>
    <w:rPr>
      <w:rFonts w:asciiTheme="majorHAnsi" w:eastAsiaTheme="minorEastAsia" w:hAnsiTheme="majorHAnsi"/>
      <w:b/>
      <w:bCs/>
      <w:noProof/>
      <w:color w:val="000000" w:themeColor="text1"/>
      <w:kern w:val="0"/>
      <w:szCs w:val="40"/>
      <w14:ligatures w14:val="none"/>
    </w:rPr>
  </w:style>
  <w:style w:type="character" w:customStyle="1" w:styleId="Heading3Char">
    <w:name w:val="Heading 3 Char"/>
    <w:basedOn w:val="DefaultParagraphFont"/>
    <w:link w:val="Heading3"/>
    <w:uiPriority w:val="9"/>
    <w:semiHidden/>
    <w:rsid w:val="00E14577"/>
    <w:rPr>
      <w:rFonts w:eastAsiaTheme="majorEastAsia" w:cstheme="majorBidi"/>
      <w:color w:val="039A6C" w:themeColor="accent1" w:themeShade="BF"/>
      <w:sz w:val="28"/>
      <w:szCs w:val="28"/>
    </w:rPr>
  </w:style>
  <w:style w:type="character" w:customStyle="1" w:styleId="Heading4Char">
    <w:name w:val="Heading 4 Char"/>
    <w:basedOn w:val="DefaultParagraphFont"/>
    <w:link w:val="Heading4"/>
    <w:uiPriority w:val="9"/>
    <w:semiHidden/>
    <w:rsid w:val="00E14577"/>
    <w:rPr>
      <w:rFonts w:eastAsiaTheme="majorEastAsia" w:cstheme="majorBidi"/>
      <w:i/>
      <w:iCs/>
      <w:color w:val="039A6C" w:themeColor="accent1" w:themeShade="BF"/>
    </w:rPr>
  </w:style>
  <w:style w:type="character" w:customStyle="1" w:styleId="Heading5Char">
    <w:name w:val="Heading 5 Char"/>
    <w:basedOn w:val="DefaultParagraphFont"/>
    <w:link w:val="Heading5"/>
    <w:uiPriority w:val="9"/>
    <w:semiHidden/>
    <w:rsid w:val="00E14577"/>
    <w:rPr>
      <w:rFonts w:eastAsiaTheme="majorEastAsia" w:cstheme="majorBidi"/>
      <w:color w:val="039A6C" w:themeColor="accent1" w:themeShade="BF"/>
    </w:rPr>
  </w:style>
  <w:style w:type="character" w:customStyle="1" w:styleId="Heading6Char">
    <w:name w:val="Heading 6 Char"/>
    <w:basedOn w:val="DefaultParagraphFont"/>
    <w:link w:val="Heading6"/>
    <w:uiPriority w:val="9"/>
    <w:semiHidden/>
    <w:rsid w:val="00E145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5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5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577"/>
    <w:rPr>
      <w:rFonts w:eastAsiaTheme="majorEastAsia" w:cstheme="majorBidi"/>
      <w:color w:val="272727" w:themeColor="text1" w:themeTint="D8"/>
    </w:rPr>
  </w:style>
  <w:style w:type="paragraph" w:styleId="Title">
    <w:name w:val="Title"/>
    <w:basedOn w:val="Normal"/>
    <w:next w:val="Normal"/>
    <w:link w:val="TitleChar"/>
    <w:uiPriority w:val="1"/>
    <w:qFormat/>
    <w:rsid w:val="00D41196"/>
    <w:pPr>
      <w:spacing w:before="0" w:line="216" w:lineRule="auto"/>
      <w:contextualSpacing/>
    </w:pPr>
    <w:rPr>
      <w:rFonts w:eastAsiaTheme="majorEastAsia" w:cs="Times New Roman (Headings CS)"/>
      <w:b/>
      <w:caps/>
      <w:color w:val="auto"/>
      <w:spacing w:val="-10"/>
      <w:kern w:val="28"/>
      <w:sz w:val="96"/>
      <w:szCs w:val="56"/>
      <w14:ligatures w14:val="standardContextual"/>
    </w:rPr>
  </w:style>
  <w:style w:type="character" w:customStyle="1" w:styleId="TitleChar">
    <w:name w:val="Title Char"/>
    <w:basedOn w:val="DefaultParagraphFont"/>
    <w:link w:val="Title"/>
    <w:uiPriority w:val="1"/>
    <w:rsid w:val="00D41196"/>
    <w:rPr>
      <w:rFonts w:eastAsiaTheme="majorEastAsia" w:cs="Times New Roman (Headings CS)"/>
      <w:b/>
      <w:caps/>
      <w:spacing w:val="-10"/>
      <w:kern w:val="28"/>
      <w:sz w:val="96"/>
      <w:szCs w:val="56"/>
    </w:rPr>
  </w:style>
  <w:style w:type="paragraph" w:styleId="Subtitle">
    <w:name w:val="Subtitle"/>
    <w:basedOn w:val="Normal"/>
    <w:next w:val="Normal"/>
    <w:link w:val="SubtitleChar"/>
    <w:uiPriority w:val="11"/>
    <w:qFormat/>
    <w:rsid w:val="00E145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5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577"/>
    <w:pPr>
      <w:spacing w:before="160"/>
      <w:jc w:val="center"/>
    </w:pPr>
    <w:rPr>
      <w:i/>
      <w:iCs/>
      <w:color w:val="404040" w:themeColor="text1" w:themeTint="BF"/>
    </w:rPr>
  </w:style>
  <w:style w:type="character" w:customStyle="1" w:styleId="QuoteChar">
    <w:name w:val="Quote Char"/>
    <w:basedOn w:val="DefaultParagraphFont"/>
    <w:link w:val="Quote"/>
    <w:uiPriority w:val="29"/>
    <w:rsid w:val="00E14577"/>
    <w:rPr>
      <w:i/>
      <w:iCs/>
      <w:color w:val="404040" w:themeColor="text1" w:themeTint="BF"/>
    </w:rPr>
  </w:style>
  <w:style w:type="paragraph" w:styleId="ListParagraph">
    <w:name w:val="List Paragraph"/>
    <w:basedOn w:val="Normal"/>
    <w:uiPriority w:val="34"/>
    <w:qFormat/>
    <w:rsid w:val="00E14577"/>
    <w:pPr>
      <w:ind w:left="720"/>
      <w:contextualSpacing/>
    </w:pPr>
  </w:style>
  <w:style w:type="character" w:styleId="IntenseEmphasis">
    <w:name w:val="Intense Emphasis"/>
    <w:basedOn w:val="DefaultParagraphFont"/>
    <w:uiPriority w:val="21"/>
    <w:qFormat/>
    <w:rsid w:val="00E14577"/>
    <w:rPr>
      <w:i/>
      <w:iCs/>
      <w:color w:val="039A6C" w:themeColor="accent1" w:themeShade="BF"/>
    </w:rPr>
  </w:style>
  <w:style w:type="paragraph" w:styleId="IntenseQuote">
    <w:name w:val="Intense Quote"/>
    <w:basedOn w:val="Normal"/>
    <w:next w:val="Normal"/>
    <w:link w:val="IntenseQuoteChar"/>
    <w:uiPriority w:val="30"/>
    <w:qFormat/>
    <w:rsid w:val="00E14577"/>
    <w:pPr>
      <w:pBdr>
        <w:top w:val="single" w:sz="4" w:space="10" w:color="039A6C" w:themeColor="accent1" w:themeShade="BF"/>
        <w:bottom w:val="single" w:sz="4" w:space="10" w:color="039A6C" w:themeColor="accent1" w:themeShade="BF"/>
      </w:pBdr>
      <w:spacing w:before="360" w:after="360"/>
      <w:ind w:left="864" w:right="864"/>
      <w:jc w:val="center"/>
    </w:pPr>
    <w:rPr>
      <w:i/>
      <w:iCs/>
      <w:color w:val="039A6C" w:themeColor="accent1" w:themeShade="BF"/>
    </w:rPr>
  </w:style>
  <w:style w:type="character" w:customStyle="1" w:styleId="IntenseQuoteChar">
    <w:name w:val="Intense Quote Char"/>
    <w:basedOn w:val="DefaultParagraphFont"/>
    <w:link w:val="IntenseQuote"/>
    <w:uiPriority w:val="30"/>
    <w:rsid w:val="00E14577"/>
    <w:rPr>
      <w:i/>
      <w:iCs/>
      <w:color w:val="039A6C" w:themeColor="accent1" w:themeShade="BF"/>
    </w:rPr>
  </w:style>
  <w:style w:type="character" w:styleId="IntenseReference">
    <w:name w:val="Intense Reference"/>
    <w:basedOn w:val="DefaultParagraphFont"/>
    <w:uiPriority w:val="32"/>
    <w:qFormat/>
    <w:rsid w:val="00E14577"/>
    <w:rPr>
      <w:b/>
      <w:bCs/>
      <w:smallCaps/>
      <w:color w:val="039A6C" w:themeColor="accent1" w:themeShade="BF"/>
      <w:spacing w:val="5"/>
    </w:rPr>
  </w:style>
  <w:style w:type="paragraph" w:customStyle="1" w:styleId="Info">
    <w:name w:val="Info"/>
    <w:basedOn w:val="Normal"/>
    <w:qFormat/>
    <w:rsid w:val="00CF1539"/>
    <w:pPr>
      <w:framePr w:hSpace="180" w:wrap="around" w:vAnchor="page" w:hAnchor="margin" w:y="5119"/>
      <w:spacing w:before="0"/>
    </w:pPr>
    <w:rPr>
      <w:szCs w:val="24"/>
    </w:rPr>
  </w:style>
  <w:style w:type="paragraph" w:customStyle="1" w:styleId="Bold">
    <w:name w:val="Bold"/>
    <w:basedOn w:val="Normal"/>
    <w:qFormat/>
    <w:rsid w:val="00D41196"/>
    <w:rPr>
      <w:rFonts w:asciiTheme="majorHAnsi" w:hAnsiTheme="majorHAnsi"/>
      <w:b/>
      <w:bCs/>
    </w:rPr>
  </w:style>
  <w:style w:type="table" w:styleId="TableGrid">
    <w:name w:val="Table Grid"/>
    <w:basedOn w:val="TableNormal"/>
    <w:uiPriority w:val="39"/>
    <w:rsid w:val="00E14577"/>
    <w:pPr>
      <w:spacing w:after="0" w:line="240" w:lineRule="auto"/>
    </w:pPr>
    <w:rPr>
      <w:kern w:val="0"/>
      <w:sz w:val="18"/>
      <w:szCs w:val="1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4577"/>
    <w:rPr>
      <w:color w:val="0000FF"/>
      <w:u w:val="single"/>
    </w:rPr>
  </w:style>
  <w:style w:type="paragraph" w:styleId="Header">
    <w:name w:val="header"/>
    <w:basedOn w:val="Normal"/>
    <w:link w:val="HeaderChar"/>
    <w:uiPriority w:val="99"/>
    <w:unhideWhenUsed/>
    <w:rsid w:val="00E1457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14577"/>
    <w:rPr>
      <w:rFonts w:eastAsiaTheme="minorEastAsia"/>
      <w:color w:val="000000" w:themeColor="text1"/>
      <w:kern w:val="0"/>
      <w:sz w:val="22"/>
      <w:szCs w:val="22"/>
      <w14:ligatures w14:val="none"/>
    </w:rPr>
  </w:style>
  <w:style w:type="paragraph" w:styleId="Footer">
    <w:name w:val="footer"/>
    <w:basedOn w:val="Normal"/>
    <w:link w:val="FooterChar"/>
    <w:uiPriority w:val="99"/>
    <w:unhideWhenUsed/>
    <w:rsid w:val="00B561B6"/>
    <w:pPr>
      <w:tabs>
        <w:tab w:val="center" w:pos="4680"/>
        <w:tab w:val="right" w:pos="9360"/>
      </w:tabs>
      <w:spacing w:before="0" w:line="240" w:lineRule="auto"/>
    </w:pPr>
    <w:rPr>
      <w:rFonts w:cs="Times New Roman (Body CS)"/>
      <w:sz w:val="20"/>
    </w:rPr>
  </w:style>
  <w:style w:type="character" w:customStyle="1" w:styleId="FooterChar">
    <w:name w:val="Footer Char"/>
    <w:basedOn w:val="DefaultParagraphFont"/>
    <w:link w:val="Footer"/>
    <w:uiPriority w:val="99"/>
    <w:rsid w:val="00B561B6"/>
    <w:rPr>
      <w:rFonts w:ascii="Microsoft Sans Serif" w:eastAsiaTheme="minorEastAsia" w:hAnsi="Microsoft Sans Serif" w:cs="Times New Roman (Body CS)"/>
      <w:color w:val="000000" w:themeColor="text1"/>
      <w:kern w:val="0"/>
      <w:sz w:val="20"/>
      <w:szCs w:val="22"/>
      <w14:ligatures w14:val="none"/>
    </w:rPr>
  </w:style>
  <w:style w:type="character" w:styleId="PageNumber">
    <w:name w:val="page number"/>
    <w:basedOn w:val="DefaultParagraphFont"/>
    <w:uiPriority w:val="99"/>
    <w:semiHidden/>
    <w:unhideWhenUsed/>
    <w:rsid w:val="00E14577"/>
  </w:style>
  <w:style w:type="paragraph" w:styleId="ListBullet">
    <w:name w:val="List Bullet"/>
    <w:basedOn w:val="Normal"/>
    <w:uiPriority w:val="99"/>
    <w:rsid w:val="00D41196"/>
    <w:pPr>
      <w:numPr>
        <w:numId w:val="2"/>
      </w:numPr>
      <w:ind w:left="720"/>
    </w:pPr>
  </w:style>
  <w:style w:type="character" w:styleId="Emphasis">
    <w:name w:val="Emphasis"/>
    <w:basedOn w:val="DefaultParagraphFont"/>
    <w:uiPriority w:val="20"/>
    <w:qFormat/>
    <w:rsid w:val="00D41196"/>
    <w:rPr>
      <w:b/>
      <w:i w:val="0"/>
      <w:iCs/>
    </w:rPr>
  </w:style>
  <w:style w:type="paragraph" w:styleId="TOCHeading">
    <w:name w:val="TOC Heading"/>
    <w:basedOn w:val="Heading1"/>
    <w:next w:val="Normal"/>
    <w:uiPriority w:val="39"/>
    <w:unhideWhenUsed/>
    <w:qFormat/>
    <w:rsid w:val="00A47367"/>
    <w:pPr>
      <w:framePr w:hSpace="0" w:wrap="auto" w:vAnchor="margin" w:hAnchor="text" w:yAlign="inline"/>
      <w:spacing w:before="240" w:after="0" w:line="259" w:lineRule="auto"/>
      <w:outlineLvl w:val="9"/>
    </w:pPr>
    <w:rPr>
      <w:rFonts w:cstheme="majorBidi"/>
      <w:b w:val="0"/>
      <w:caps w:val="0"/>
      <w:color w:val="039A6C" w:themeColor="accent1" w:themeShade="BF"/>
      <w:sz w:val="32"/>
      <w:szCs w:val="32"/>
    </w:rPr>
  </w:style>
  <w:style w:type="paragraph" w:styleId="TOC1">
    <w:name w:val="toc 1"/>
    <w:basedOn w:val="Normal"/>
    <w:next w:val="Normal"/>
    <w:autoRedefine/>
    <w:uiPriority w:val="39"/>
    <w:unhideWhenUsed/>
    <w:rsid w:val="00A47367"/>
    <w:pPr>
      <w:spacing w:after="100"/>
    </w:pPr>
  </w:style>
  <w:style w:type="paragraph" w:styleId="TOC2">
    <w:name w:val="toc 2"/>
    <w:basedOn w:val="Normal"/>
    <w:next w:val="Normal"/>
    <w:autoRedefine/>
    <w:uiPriority w:val="39"/>
    <w:unhideWhenUsed/>
    <w:rsid w:val="00A47367"/>
    <w:pPr>
      <w:spacing w:after="100"/>
      <w:ind w:left="240"/>
    </w:pPr>
  </w:style>
  <w:style w:type="paragraph" w:styleId="TOC3">
    <w:name w:val="toc 3"/>
    <w:basedOn w:val="Normal"/>
    <w:next w:val="Normal"/>
    <w:autoRedefine/>
    <w:uiPriority w:val="39"/>
    <w:unhideWhenUsed/>
    <w:rsid w:val="00C575DE"/>
    <w:pPr>
      <w:spacing w:before="0" w:after="100" w:line="259" w:lineRule="auto"/>
      <w:ind w:left="440"/>
    </w:pPr>
    <w:rPr>
      <w:rFonts w:cs="Times New Roman"/>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370784">
      <w:bodyDiv w:val="1"/>
      <w:marLeft w:val="0"/>
      <w:marRight w:val="0"/>
      <w:marTop w:val="0"/>
      <w:marBottom w:val="0"/>
      <w:divBdr>
        <w:top w:val="none" w:sz="0" w:space="0" w:color="auto"/>
        <w:left w:val="none" w:sz="0" w:space="0" w:color="auto"/>
        <w:bottom w:val="none" w:sz="0" w:space="0" w:color="auto"/>
        <w:right w:val="none" w:sz="0" w:space="0" w:color="auto"/>
      </w:divBdr>
    </w:div>
    <w:div w:id="399132657">
      <w:bodyDiv w:val="1"/>
      <w:marLeft w:val="0"/>
      <w:marRight w:val="0"/>
      <w:marTop w:val="0"/>
      <w:marBottom w:val="0"/>
      <w:divBdr>
        <w:top w:val="none" w:sz="0" w:space="0" w:color="auto"/>
        <w:left w:val="none" w:sz="0" w:space="0" w:color="auto"/>
        <w:bottom w:val="none" w:sz="0" w:space="0" w:color="auto"/>
        <w:right w:val="none" w:sz="0" w:space="0" w:color="auto"/>
      </w:divBdr>
    </w:div>
    <w:div w:id="498740491">
      <w:bodyDiv w:val="1"/>
      <w:marLeft w:val="0"/>
      <w:marRight w:val="0"/>
      <w:marTop w:val="0"/>
      <w:marBottom w:val="0"/>
      <w:divBdr>
        <w:top w:val="none" w:sz="0" w:space="0" w:color="auto"/>
        <w:left w:val="none" w:sz="0" w:space="0" w:color="auto"/>
        <w:bottom w:val="none" w:sz="0" w:space="0" w:color="auto"/>
        <w:right w:val="none" w:sz="0" w:space="0" w:color="auto"/>
      </w:divBdr>
    </w:div>
    <w:div w:id="507838782">
      <w:bodyDiv w:val="1"/>
      <w:marLeft w:val="0"/>
      <w:marRight w:val="0"/>
      <w:marTop w:val="0"/>
      <w:marBottom w:val="0"/>
      <w:divBdr>
        <w:top w:val="none" w:sz="0" w:space="0" w:color="auto"/>
        <w:left w:val="none" w:sz="0" w:space="0" w:color="auto"/>
        <w:bottom w:val="none" w:sz="0" w:space="0" w:color="auto"/>
        <w:right w:val="none" w:sz="0" w:space="0" w:color="auto"/>
      </w:divBdr>
    </w:div>
    <w:div w:id="609969609">
      <w:bodyDiv w:val="1"/>
      <w:marLeft w:val="0"/>
      <w:marRight w:val="0"/>
      <w:marTop w:val="0"/>
      <w:marBottom w:val="0"/>
      <w:divBdr>
        <w:top w:val="none" w:sz="0" w:space="0" w:color="auto"/>
        <w:left w:val="none" w:sz="0" w:space="0" w:color="auto"/>
        <w:bottom w:val="none" w:sz="0" w:space="0" w:color="auto"/>
        <w:right w:val="none" w:sz="0" w:space="0" w:color="auto"/>
      </w:divBdr>
    </w:div>
    <w:div w:id="1561358210">
      <w:bodyDiv w:val="1"/>
      <w:marLeft w:val="0"/>
      <w:marRight w:val="0"/>
      <w:marTop w:val="0"/>
      <w:marBottom w:val="0"/>
      <w:divBdr>
        <w:top w:val="none" w:sz="0" w:space="0" w:color="auto"/>
        <w:left w:val="none" w:sz="0" w:space="0" w:color="auto"/>
        <w:bottom w:val="none" w:sz="0" w:space="0" w:color="auto"/>
        <w:right w:val="none" w:sz="0" w:space="0" w:color="auto"/>
      </w:divBdr>
    </w:div>
    <w:div w:id="1674214284">
      <w:bodyDiv w:val="1"/>
      <w:marLeft w:val="0"/>
      <w:marRight w:val="0"/>
      <w:marTop w:val="0"/>
      <w:marBottom w:val="0"/>
      <w:divBdr>
        <w:top w:val="none" w:sz="0" w:space="0" w:color="auto"/>
        <w:left w:val="none" w:sz="0" w:space="0" w:color="auto"/>
        <w:bottom w:val="none" w:sz="0" w:space="0" w:color="auto"/>
        <w:right w:val="none" w:sz="0" w:space="0" w:color="auto"/>
      </w:divBdr>
      <w:divsChild>
        <w:div w:id="1199661124">
          <w:marLeft w:val="0"/>
          <w:marRight w:val="0"/>
          <w:marTop w:val="0"/>
          <w:marBottom w:val="0"/>
          <w:divBdr>
            <w:top w:val="none" w:sz="0" w:space="0" w:color="auto"/>
            <w:left w:val="none" w:sz="0" w:space="0" w:color="auto"/>
            <w:bottom w:val="none" w:sz="0" w:space="0" w:color="auto"/>
            <w:right w:val="none" w:sz="0" w:space="0" w:color="auto"/>
          </w:divBdr>
        </w:div>
        <w:div w:id="1138302875">
          <w:marLeft w:val="0"/>
          <w:marRight w:val="0"/>
          <w:marTop w:val="0"/>
          <w:marBottom w:val="0"/>
          <w:divBdr>
            <w:top w:val="none" w:sz="0" w:space="0" w:color="auto"/>
            <w:left w:val="none" w:sz="0" w:space="0" w:color="auto"/>
            <w:bottom w:val="none" w:sz="0" w:space="0" w:color="auto"/>
            <w:right w:val="none" w:sz="0" w:space="0" w:color="auto"/>
          </w:divBdr>
        </w:div>
        <w:div w:id="387188071">
          <w:marLeft w:val="0"/>
          <w:marRight w:val="0"/>
          <w:marTop w:val="0"/>
          <w:marBottom w:val="0"/>
          <w:divBdr>
            <w:top w:val="none" w:sz="0" w:space="0" w:color="auto"/>
            <w:left w:val="none" w:sz="0" w:space="0" w:color="auto"/>
            <w:bottom w:val="none" w:sz="0" w:space="0" w:color="auto"/>
            <w:right w:val="none" w:sz="0" w:space="0" w:color="auto"/>
          </w:divBdr>
        </w:div>
        <w:div w:id="1464154457">
          <w:marLeft w:val="0"/>
          <w:marRight w:val="0"/>
          <w:marTop w:val="0"/>
          <w:marBottom w:val="0"/>
          <w:divBdr>
            <w:top w:val="none" w:sz="0" w:space="0" w:color="auto"/>
            <w:left w:val="none" w:sz="0" w:space="0" w:color="auto"/>
            <w:bottom w:val="none" w:sz="0" w:space="0" w:color="auto"/>
            <w:right w:val="none" w:sz="0" w:space="0" w:color="auto"/>
          </w:divBdr>
        </w:div>
        <w:div w:id="446313006">
          <w:marLeft w:val="0"/>
          <w:marRight w:val="0"/>
          <w:marTop w:val="0"/>
          <w:marBottom w:val="0"/>
          <w:divBdr>
            <w:top w:val="none" w:sz="0" w:space="0" w:color="auto"/>
            <w:left w:val="none" w:sz="0" w:space="0" w:color="auto"/>
            <w:bottom w:val="none" w:sz="0" w:space="0" w:color="auto"/>
            <w:right w:val="none" w:sz="0" w:space="0" w:color="auto"/>
          </w:divBdr>
        </w:div>
        <w:div w:id="582644323">
          <w:marLeft w:val="0"/>
          <w:marRight w:val="0"/>
          <w:marTop w:val="0"/>
          <w:marBottom w:val="0"/>
          <w:divBdr>
            <w:top w:val="none" w:sz="0" w:space="0" w:color="auto"/>
            <w:left w:val="none" w:sz="0" w:space="0" w:color="auto"/>
            <w:bottom w:val="none" w:sz="0" w:space="0" w:color="auto"/>
            <w:right w:val="none" w:sz="0" w:space="0" w:color="auto"/>
          </w:divBdr>
        </w:div>
        <w:div w:id="1473057264">
          <w:marLeft w:val="0"/>
          <w:marRight w:val="0"/>
          <w:marTop w:val="0"/>
          <w:marBottom w:val="0"/>
          <w:divBdr>
            <w:top w:val="none" w:sz="0" w:space="0" w:color="auto"/>
            <w:left w:val="none" w:sz="0" w:space="0" w:color="auto"/>
            <w:bottom w:val="none" w:sz="0" w:space="0" w:color="auto"/>
            <w:right w:val="none" w:sz="0" w:space="0" w:color="auto"/>
          </w:divBdr>
        </w:div>
        <w:div w:id="667560423">
          <w:marLeft w:val="0"/>
          <w:marRight w:val="0"/>
          <w:marTop w:val="0"/>
          <w:marBottom w:val="0"/>
          <w:divBdr>
            <w:top w:val="none" w:sz="0" w:space="0" w:color="auto"/>
            <w:left w:val="none" w:sz="0" w:space="0" w:color="auto"/>
            <w:bottom w:val="none" w:sz="0" w:space="0" w:color="auto"/>
            <w:right w:val="none" w:sz="0" w:space="0" w:color="auto"/>
          </w:divBdr>
        </w:div>
        <w:div w:id="513688658">
          <w:marLeft w:val="0"/>
          <w:marRight w:val="0"/>
          <w:marTop w:val="0"/>
          <w:marBottom w:val="0"/>
          <w:divBdr>
            <w:top w:val="none" w:sz="0" w:space="0" w:color="auto"/>
            <w:left w:val="none" w:sz="0" w:space="0" w:color="auto"/>
            <w:bottom w:val="none" w:sz="0" w:space="0" w:color="auto"/>
            <w:right w:val="none" w:sz="0" w:space="0" w:color="auto"/>
          </w:divBdr>
        </w:div>
        <w:div w:id="731192925">
          <w:marLeft w:val="0"/>
          <w:marRight w:val="0"/>
          <w:marTop w:val="0"/>
          <w:marBottom w:val="0"/>
          <w:divBdr>
            <w:top w:val="none" w:sz="0" w:space="0" w:color="auto"/>
            <w:left w:val="none" w:sz="0" w:space="0" w:color="auto"/>
            <w:bottom w:val="none" w:sz="0" w:space="0" w:color="auto"/>
            <w:right w:val="none" w:sz="0" w:space="0" w:color="auto"/>
          </w:divBdr>
        </w:div>
        <w:div w:id="1689796513">
          <w:marLeft w:val="0"/>
          <w:marRight w:val="0"/>
          <w:marTop w:val="0"/>
          <w:marBottom w:val="0"/>
          <w:divBdr>
            <w:top w:val="none" w:sz="0" w:space="0" w:color="auto"/>
            <w:left w:val="none" w:sz="0" w:space="0" w:color="auto"/>
            <w:bottom w:val="none" w:sz="0" w:space="0" w:color="auto"/>
            <w:right w:val="none" w:sz="0" w:space="0" w:color="auto"/>
          </w:divBdr>
        </w:div>
        <w:div w:id="350106556">
          <w:marLeft w:val="0"/>
          <w:marRight w:val="0"/>
          <w:marTop w:val="0"/>
          <w:marBottom w:val="0"/>
          <w:divBdr>
            <w:top w:val="none" w:sz="0" w:space="0" w:color="auto"/>
            <w:left w:val="none" w:sz="0" w:space="0" w:color="auto"/>
            <w:bottom w:val="none" w:sz="0" w:space="0" w:color="auto"/>
            <w:right w:val="none" w:sz="0" w:space="0" w:color="auto"/>
          </w:divBdr>
        </w:div>
        <w:div w:id="1366443087">
          <w:marLeft w:val="0"/>
          <w:marRight w:val="0"/>
          <w:marTop w:val="0"/>
          <w:marBottom w:val="0"/>
          <w:divBdr>
            <w:top w:val="none" w:sz="0" w:space="0" w:color="auto"/>
            <w:left w:val="none" w:sz="0" w:space="0" w:color="auto"/>
            <w:bottom w:val="none" w:sz="0" w:space="0" w:color="auto"/>
            <w:right w:val="none" w:sz="0" w:space="0" w:color="auto"/>
          </w:divBdr>
        </w:div>
        <w:div w:id="971788444">
          <w:marLeft w:val="0"/>
          <w:marRight w:val="0"/>
          <w:marTop w:val="0"/>
          <w:marBottom w:val="0"/>
          <w:divBdr>
            <w:top w:val="none" w:sz="0" w:space="0" w:color="auto"/>
            <w:left w:val="none" w:sz="0" w:space="0" w:color="auto"/>
            <w:bottom w:val="none" w:sz="0" w:space="0" w:color="auto"/>
            <w:right w:val="none" w:sz="0" w:space="0" w:color="auto"/>
          </w:divBdr>
        </w:div>
        <w:div w:id="281152618">
          <w:marLeft w:val="0"/>
          <w:marRight w:val="0"/>
          <w:marTop w:val="0"/>
          <w:marBottom w:val="0"/>
          <w:divBdr>
            <w:top w:val="none" w:sz="0" w:space="0" w:color="auto"/>
            <w:left w:val="none" w:sz="0" w:space="0" w:color="auto"/>
            <w:bottom w:val="none" w:sz="0" w:space="0" w:color="auto"/>
            <w:right w:val="none" w:sz="0" w:space="0" w:color="auto"/>
          </w:divBdr>
        </w:div>
        <w:div w:id="1509053363">
          <w:marLeft w:val="0"/>
          <w:marRight w:val="0"/>
          <w:marTop w:val="0"/>
          <w:marBottom w:val="0"/>
          <w:divBdr>
            <w:top w:val="none" w:sz="0" w:space="0" w:color="auto"/>
            <w:left w:val="none" w:sz="0" w:space="0" w:color="auto"/>
            <w:bottom w:val="none" w:sz="0" w:space="0" w:color="auto"/>
            <w:right w:val="none" w:sz="0" w:space="0" w:color="auto"/>
          </w:divBdr>
        </w:div>
        <w:div w:id="312832422">
          <w:marLeft w:val="0"/>
          <w:marRight w:val="0"/>
          <w:marTop w:val="0"/>
          <w:marBottom w:val="0"/>
          <w:divBdr>
            <w:top w:val="none" w:sz="0" w:space="0" w:color="auto"/>
            <w:left w:val="none" w:sz="0" w:space="0" w:color="auto"/>
            <w:bottom w:val="none" w:sz="0" w:space="0" w:color="auto"/>
            <w:right w:val="none" w:sz="0" w:space="0" w:color="auto"/>
          </w:divBdr>
        </w:div>
        <w:div w:id="425618514">
          <w:marLeft w:val="0"/>
          <w:marRight w:val="0"/>
          <w:marTop w:val="0"/>
          <w:marBottom w:val="0"/>
          <w:divBdr>
            <w:top w:val="none" w:sz="0" w:space="0" w:color="auto"/>
            <w:left w:val="none" w:sz="0" w:space="0" w:color="auto"/>
            <w:bottom w:val="none" w:sz="0" w:space="0" w:color="auto"/>
            <w:right w:val="none" w:sz="0" w:space="0" w:color="auto"/>
          </w:divBdr>
        </w:div>
        <w:div w:id="752823197">
          <w:marLeft w:val="0"/>
          <w:marRight w:val="0"/>
          <w:marTop w:val="0"/>
          <w:marBottom w:val="0"/>
          <w:divBdr>
            <w:top w:val="none" w:sz="0" w:space="0" w:color="auto"/>
            <w:left w:val="none" w:sz="0" w:space="0" w:color="auto"/>
            <w:bottom w:val="none" w:sz="0" w:space="0" w:color="auto"/>
            <w:right w:val="none" w:sz="0" w:space="0" w:color="auto"/>
          </w:divBdr>
        </w:div>
        <w:div w:id="1287200105">
          <w:marLeft w:val="0"/>
          <w:marRight w:val="0"/>
          <w:marTop w:val="0"/>
          <w:marBottom w:val="0"/>
          <w:divBdr>
            <w:top w:val="none" w:sz="0" w:space="0" w:color="auto"/>
            <w:left w:val="none" w:sz="0" w:space="0" w:color="auto"/>
            <w:bottom w:val="none" w:sz="0" w:space="0" w:color="auto"/>
            <w:right w:val="none" w:sz="0" w:space="0" w:color="auto"/>
          </w:divBdr>
        </w:div>
        <w:div w:id="1592199870">
          <w:marLeft w:val="0"/>
          <w:marRight w:val="0"/>
          <w:marTop w:val="0"/>
          <w:marBottom w:val="0"/>
          <w:divBdr>
            <w:top w:val="none" w:sz="0" w:space="0" w:color="auto"/>
            <w:left w:val="none" w:sz="0" w:space="0" w:color="auto"/>
            <w:bottom w:val="none" w:sz="0" w:space="0" w:color="auto"/>
            <w:right w:val="none" w:sz="0" w:space="0" w:color="auto"/>
          </w:divBdr>
        </w:div>
        <w:div w:id="793249824">
          <w:marLeft w:val="0"/>
          <w:marRight w:val="0"/>
          <w:marTop w:val="0"/>
          <w:marBottom w:val="0"/>
          <w:divBdr>
            <w:top w:val="none" w:sz="0" w:space="0" w:color="auto"/>
            <w:left w:val="none" w:sz="0" w:space="0" w:color="auto"/>
            <w:bottom w:val="none" w:sz="0" w:space="0" w:color="auto"/>
            <w:right w:val="none" w:sz="0" w:space="0" w:color="auto"/>
          </w:divBdr>
        </w:div>
        <w:div w:id="1337685481">
          <w:marLeft w:val="0"/>
          <w:marRight w:val="0"/>
          <w:marTop w:val="0"/>
          <w:marBottom w:val="0"/>
          <w:divBdr>
            <w:top w:val="none" w:sz="0" w:space="0" w:color="auto"/>
            <w:left w:val="none" w:sz="0" w:space="0" w:color="auto"/>
            <w:bottom w:val="none" w:sz="0" w:space="0" w:color="auto"/>
            <w:right w:val="none" w:sz="0" w:space="0" w:color="auto"/>
          </w:divBdr>
        </w:div>
        <w:div w:id="397216847">
          <w:marLeft w:val="0"/>
          <w:marRight w:val="0"/>
          <w:marTop w:val="0"/>
          <w:marBottom w:val="0"/>
          <w:divBdr>
            <w:top w:val="none" w:sz="0" w:space="0" w:color="auto"/>
            <w:left w:val="none" w:sz="0" w:space="0" w:color="auto"/>
            <w:bottom w:val="none" w:sz="0" w:space="0" w:color="auto"/>
            <w:right w:val="none" w:sz="0" w:space="0" w:color="auto"/>
          </w:divBdr>
        </w:div>
        <w:div w:id="1287470777">
          <w:marLeft w:val="0"/>
          <w:marRight w:val="0"/>
          <w:marTop w:val="0"/>
          <w:marBottom w:val="0"/>
          <w:divBdr>
            <w:top w:val="none" w:sz="0" w:space="0" w:color="auto"/>
            <w:left w:val="none" w:sz="0" w:space="0" w:color="auto"/>
            <w:bottom w:val="none" w:sz="0" w:space="0" w:color="auto"/>
            <w:right w:val="none" w:sz="0" w:space="0" w:color="auto"/>
          </w:divBdr>
        </w:div>
        <w:div w:id="1440639500">
          <w:marLeft w:val="0"/>
          <w:marRight w:val="0"/>
          <w:marTop w:val="0"/>
          <w:marBottom w:val="0"/>
          <w:divBdr>
            <w:top w:val="none" w:sz="0" w:space="0" w:color="auto"/>
            <w:left w:val="none" w:sz="0" w:space="0" w:color="auto"/>
            <w:bottom w:val="none" w:sz="0" w:space="0" w:color="auto"/>
            <w:right w:val="none" w:sz="0" w:space="0" w:color="auto"/>
          </w:divBdr>
        </w:div>
        <w:div w:id="1862622182">
          <w:marLeft w:val="0"/>
          <w:marRight w:val="0"/>
          <w:marTop w:val="0"/>
          <w:marBottom w:val="0"/>
          <w:divBdr>
            <w:top w:val="none" w:sz="0" w:space="0" w:color="auto"/>
            <w:left w:val="none" w:sz="0" w:space="0" w:color="auto"/>
            <w:bottom w:val="none" w:sz="0" w:space="0" w:color="auto"/>
            <w:right w:val="none" w:sz="0" w:space="0" w:color="auto"/>
          </w:divBdr>
        </w:div>
        <w:div w:id="652368438">
          <w:marLeft w:val="0"/>
          <w:marRight w:val="0"/>
          <w:marTop w:val="0"/>
          <w:marBottom w:val="0"/>
          <w:divBdr>
            <w:top w:val="none" w:sz="0" w:space="0" w:color="auto"/>
            <w:left w:val="none" w:sz="0" w:space="0" w:color="auto"/>
            <w:bottom w:val="none" w:sz="0" w:space="0" w:color="auto"/>
            <w:right w:val="none" w:sz="0" w:space="0" w:color="auto"/>
          </w:divBdr>
        </w:div>
        <w:div w:id="2130126074">
          <w:marLeft w:val="0"/>
          <w:marRight w:val="0"/>
          <w:marTop w:val="0"/>
          <w:marBottom w:val="0"/>
          <w:divBdr>
            <w:top w:val="none" w:sz="0" w:space="0" w:color="auto"/>
            <w:left w:val="none" w:sz="0" w:space="0" w:color="auto"/>
            <w:bottom w:val="none" w:sz="0" w:space="0" w:color="auto"/>
            <w:right w:val="none" w:sz="0" w:space="0" w:color="auto"/>
          </w:divBdr>
        </w:div>
        <w:div w:id="522211679">
          <w:marLeft w:val="0"/>
          <w:marRight w:val="0"/>
          <w:marTop w:val="0"/>
          <w:marBottom w:val="0"/>
          <w:divBdr>
            <w:top w:val="none" w:sz="0" w:space="0" w:color="auto"/>
            <w:left w:val="none" w:sz="0" w:space="0" w:color="auto"/>
            <w:bottom w:val="none" w:sz="0" w:space="0" w:color="auto"/>
            <w:right w:val="none" w:sz="0" w:space="0" w:color="auto"/>
          </w:divBdr>
        </w:div>
        <w:div w:id="1549730054">
          <w:marLeft w:val="0"/>
          <w:marRight w:val="0"/>
          <w:marTop w:val="0"/>
          <w:marBottom w:val="0"/>
          <w:divBdr>
            <w:top w:val="none" w:sz="0" w:space="0" w:color="auto"/>
            <w:left w:val="none" w:sz="0" w:space="0" w:color="auto"/>
            <w:bottom w:val="none" w:sz="0" w:space="0" w:color="auto"/>
            <w:right w:val="none" w:sz="0" w:space="0" w:color="auto"/>
          </w:divBdr>
        </w:div>
        <w:div w:id="1359694750">
          <w:marLeft w:val="0"/>
          <w:marRight w:val="0"/>
          <w:marTop w:val="0"/>
          <w:marBottom w:val="0"/>
          <w:divBdr>
            <w:top w:val="none" w:sz="0" w:space="0" w:color="auto"/>
            <w:left w:val="none" w:sz="0" w:space="0" w:color="auto"/>
            <w:bottom w:val="none" w:sz="0" w:space="0" w:color="auto"/>
            <w:right w:val="none" w:sz="0" w:space="0" w:color="auto"/>
          </w:divBdr>
        </w:div>
        <w:div w:id="2106802888">
          <w:marLeft w:val="0"/>
          <w:marRight w:val="0"/>
          <w:marTop w:val="0"/>
          <w:marBottom w:val="0"/>
          <w:divBdr>
            <w:top w:val="none" w:sz="0" w:space="0" w:color="auto"/>
            <w:left w:val="none" w:sz="0" w:space="0" w:color="auto"/>
            <w:bottom w:val="none" w:sz="0" w:space="0" w:color="auto"/>
            <w:right w:val="none" w:sz="0" w:space="0" w:color="auto"/>
          </w:divBdr>
        </w:div>
        <w:div w:id="2097286860">
          <w:marLeft w:val="0"/>
          <w:marRight w:val="0"/>
          <w:marTop w:val="0"/>
          <w:marBottom w:val="0"/>
          <w:divBdr>
            <w:top w:val="none" w:sz="0" w:space="0" w:color="auto"/>
            <w:left w:val="none" w:sz="0" w:space="0" w:color="auto"/>
            <w:bottom w:val="none" w:sz="0" w:space="0" w:color="auto"/>
            <w:right w:val="none" w:sz="0" w:space="0" w:color="auto"/>
          </w:divBdr>
        </w:div>
        <w:div w:id="613559383">
          <w:marLeft w:val="0"/>
          <w:marRight w:val="0"/>
          <w:marTop w:val="0"/>
          <w:marBottom w:val="0"/>
          <w:divBdr>
            <w:top w:val="none" w:sz="0" w:space="0" w:color="auto"/>
            <w:left w:val="none" w:sz="0" w:space="0" w:color="auto"/>
            <w:bottom w:val="none" w:sz="0" w:space="0" w:color="auto"/>
            <w:right w:val="none" w:sz="0" w:space="0" w:color="auto"/>
          </w:divBdr>
        </w:div>
        <w:div w:id="619385461">
          <w:marLeft w:val="0"/>
          <w:marRight w:val="0"/>
          <w:marTop w:val="0"/>
          <w:marBottom w:val="0"/>
          <w:divBdr>
            <w:top w:val="none" w:sz="0" w:space="0" w:color="auto"/>
            <w:left w:val="none" w:sz="0" w:space="0" w:color="auto"/>
            <w:bottom w:val="none" w:sz="0" w:space="0" w:color="auto"/>
            <w:right w:val="none" w:sz="0" w:space="0" w:color="auto"/>
          </w:divBdr>
        </w:div>
        <w:div w:id="648942918">
          <w:marLeft w:val="0"/>
          <w:marRight w:val="0"/>
          <w:marTop w:val="0"/>
          <w:marBottom w:val="0"/>
          <w:divBdr>
            <w:top w:val="none" w:sz="0" w:space="0" w:color="auto"/>
            <w:left w:val="none" w:sz="0" w:space="0" w:color="auto"/>
            <w:bottom w:val="none" w:sz="0" w:space="0" w:color="auto"/>
            <w:right w:val="none" w:sz="0" w:space="0" w:color="auto"/>
          </w:divBdr>
        </w:div>
        <w:div w:id="474838907">
          <w:marLeft w:val="0"/>
          <w:marRight w:val="0"/>
          <w:marTop w:val="0"/>
          <w:marBottom w:val="0"/>
          <w:divBdr>
            <w:top w:val="none" w:sz="0" w:space="0" w:color="auto"/>
            <w:left w:val="none" w:sz="0" w:space="0" w:color="auto"/>
            <w:bottom w:val="none" w:sz="0" w:space="0" w:color="auto"/>
            <w:right w:val="none" w:sz="0" w:space="0" w:color="auto"/>
          </w:divBdr>
        </w:div>
        <w:div w:id="1679307776">
          <w:marLeft w:val="0"/>
          <w:marRight w:val="0"/>
          <w:marTop w:val="0"/>
          <w:marBottom w:val="0"/>
          <w:divBdr>
            <w:top w:val="none" w:sz="0" w:space="0" w:color="auto"/>
            <w:left w:val="none" w:sz="0" w:space="0" w:color="auto"/>
            <w:bottom w:val="none" w:sz="0" w:space="0" w:color="auto"/>
            <w:right w:val="none" w:sz="0" w:space="0" w:color="auto"/>
          </w:divBdr>
        </w:div>
        <w:div w:id="2023895495">
          <w:marLeft w:val="0"/>
          <w:marRight w:val="0"/>
          <w:marTop w:val="0"/>
          <w:marBottom w:val="0"/>
          <w:divBdr>
            <w:top w:val="none" w:sz="0" w:space="0" w:color="auto"/>
            <w:left w:val="none" w:sz="0" w:space="0" w:color="auto"/>
            <w:bottom w:val="none" w:sz="0" w:space="0" w:color="auto"/>
            <w:right w:val="none" w:sz="0" w:space="0" w:color="auto"/>
          </w:divBdr>
        </w:div>
        <w:div w:id="679159311">
          <w:marLeft w:val="0"/>
          <w:marRight w:val="0"/>
          <w:marTop w:val="0"/>
          <w:marBottom w:val="0"/>
          <w:divBdr>
            <w:top w:val="none" w:sz="0" w:space="0" w:color="auto"/>
            <w:left w:val="none" w:sz="0" w:space="0" w:color="auto"/>
            <w:bottom w:val="none" w:sz="0" w:space="0" w:color="auto"/>
            <w:right w:val="none" w:sz="0" w:space="0" w:color="auto"/>
          </w:divBdr>
        </w:div>
        <w:div w:id="631181386">
          <w:marLeft w:val="0"/>
          <w:marRight w:val="0"/>
          <w:marTop w:val="0"/>
          <w:marBottom w:val="0"/>
          <w:divBdr>
            <w:top w:val="none" w:sz="0" w:space="0" w:color="auto"/>
            <w:left w:val="none" w:sz="0" w:space="0" w:color="auto"/>
            <w:bottom w:val="none" w:sz="0" w:space="0" w:color="auto"/>
            <w:right w:val="none" w:sz="0" w:space="0" w:color="auto"/>
          </w:divBdr>
        </w:div>
        <w:div w:id="1851947721">
          <w:marLeft w:val="0"/>
          <w:marRight w:val="0"/>
          <w:marTop w:val="0"/>
          <w:marBottom w:val="0"/>
          <w:divBdr>
            <w:top w:val="none" w:sz="0" w:space="0" w:color="auto"/>
            <w:left w:val="none" w:sz="0" w:space="0" w:color="auto"/>
            <w:bottom w:val="none" w:sz="0" w:space="0" w:color="auto"/>
            <w:right w:val="none" w:sz="0" w:space="0" w:color="auto"/>
          </w:divBdr>
        </w:div>
        <w:div w:id="430249154">
          <w:marLeft w:val="0"/>
          <w:marRight w:val="0"/>
          <w:marTop w:val="0"/>
          <w:marBottom w:val="0"/>
          <w:divBdr>
            <w:top w:val="none" w:sz="0" w:space="0" w:color="auto"/>
            <w:left w:val="none" w:sz="0" w:space="0" w:color="auto"/>
            <w:bottom w:val="none" w:sz="0" w:space="0" w:color="auto"/>
            <w:right w:val="none" w:sz="0" w:space="0" w:color="auto"/>
          </w:divBdr>
        </w:div>
        <w:div w:id="1489788877">
          <w:marLeft w:val="0"/>
          <w:marRight w:val="0"/>
          <w:marTop w:val="0"/>
          <w:marBottom w:val="0"/>
          <w:divBdr>
            <w:top w:val="none" w:sz="0" w:space="0" w:color="auto"/>
            <w:left w:val="none" w:sz="0" w:space="0" w:color="auto"/>
            <w:bottom w:val="none" w:sz="0" w:space="0" w:color="auto"/>
            <w:right w:val="none" w:sz="0" w:space="0" w:color="auto"/>
          </w:divBdr>
        </w:div>
        <w:div w:id="1371759813">
          <w:marLeft w:val="0"/>
          <w:marRight w:val="0"/>
          <w:marTop w:val="0"/>
          <w:marBottom w:val="0"/>
          <w:divBdr>
            <w:top w:val="none" w:sz="0" w:space="0" w:color="auto"/>
            <w:left w:val="none" w:sz="0" w:space="0" w:color="auto"/>
            <w:bottom w:val="none" w:sz="0" w:space="0" w:color="auto"/>
            <w:right w:val="none" w:sz="0" w:space="0" w:color="auto"/>
          </w:divBdr>
        </w:div>
        <w:div w:id="41946123">
          <w:marLeft w:val="0"/>
          <w:marRight w:val="0"/>
          <w:marTop w:val="0"/>
          <w:marBottom w:val="0"/>
          <w:divBdr>
            <w:top w:val="none" w:sz="0" w:space="0" w:color="auto"/>
            <w:left w:val="none" w:sz="0" w:space="0" w:color="auto"/>
            <w:bottom w:val="none" w:sz="0" w:space="0" w:color="auto"/>
            <w:right w:val="none" w:sz="0" w:space="0" w:color="auto"/>
          </w:divBdr>
        </w:div>
        <w:div w:id="2099665819">
          <w:marLeft w:val="0"/>
          <w:marRight w:val="0"/>
          <w:marTop w:val="0"/>
          <w:marBottom w:val="0"/>
          <w:divBdr>
            <w:top w:val="none" w:sz="0" w:space="0" w:color="auto"/>
            <w:left w:val="none" w:sz="0" w:space="0" w:color="auto"/>
            <w:bottom w:val="none" w:sz="0" w:space="0" w:color="auto"/>
            <w:right w:val="none" w:sz="0" w:space="0" w:color="auto"/>
          </w:divBdr>
        </w:div>
        <w:div w:id="1913464704">
          <w:marLeft w:val="0"/>
          <w:marRight w:val="0"/>
          <w:marTop w:val="0"/>
          <w:marBottom w:val="0"/>
          <w:divBdr>
            <w:top w:val="none" w:sz="0" w:space="0" w:color="auto"/>
            <w:left w:val="none" w:sz="0" w:space="0" w:color="auto"/>
            <w:bottom w:val="none" w:sz="0" w:space="0" w:color="auto"/>
            <w:right w:val="none" w:sz="0" w:space="0" w:color="auto"/>
          </w:divBdr>
        </w:div>
        <w:div w:id="1860119881">
          <w:marLeft w:val="0"/>
          <w:marRight w:val="0"/>
          <w:marTop w:val="0"/>
          <w:marBottom w:val="0"/>
          <w:divBdr>
            <w:top w:val="none" w:sz="0" w:space="0" w:color="auto"/>
            <w:left w:val="none" w:sz="0" w:space="0" w:color="auto"/>
            <w:bottom w:val="none" w:sz="0" w:space="0" w:color="auto"/>
            <w:right w:val="none" w:sz="0" w:space="0" w:color="auto"/>
          </w:divBdr>
        </w:div>
        <w:div w:id="1362590084">
          <w:marLeft w:val="0"/>
          <w:marRight w:val="0"/>
          <w:marTop w:val="0"/>
          <w:marBottom w:val="0"/>
          <w:divBdr>
            <w:top w:val="none" w:sz="0" w:space="0" w:color="auto"/>
            <w:left w:val="none" w:sz="0" w:space="0" w:color="auto"/>
            <w:bottom w:val="none" w:sz="0" w:space="0" w:color="auto"/>
            <w:right w:val="none" w:sz="0" w:space="0" w:color="auto"/>
          </w:divBdr>
        </w:div>
        <w:div w:id="1864634287">
          <w:marLeft w:val="0"/>
          <w:marRight w:val="0"/>
          <w:marTop w:val="0"/>
          <w:marBottom w:val="0"/>
          <w:divBdr>
            <w:top w:val="none" w:sz="0" w:space="0" w:color="auto"/>
            <w:left w:val="none" w:sz="0" w:space="0" w:color="auto"/>
            <w:bottom w:val="none" w:sz="0" w:space="0" w:color="auto"/>
            <w:right w:val="none" w:sz="0" w:space="0" w:color="auto"/>
          </w:divBdr>
        </w:div>
        <w:div w:id="923957175">
          <w:marLeft w:val="0"/>
          <w:marRight w:val="0"/>
          <w:marTop w:val="0"/>
          <w:marBottom w:val="0"/>
          <w:divBdr>
            <w:top w:val="none" w:sz="0" w:space="0" w:color="auto"/>
            <w:left w:val="none" w:sz="0" w:space="0" w:color="auto"/>
            <w:bottom w:val="none" w:sz="0" w:space="0" w:color="auto"/>
            <w:right w:val="none" w:sz="0" w:space="0" w:color="auto"/>
          </w:divBdr>
        </w:div>
        <w:div w:id="1123184259">
          <w:marLeft w:val="0"/>
          <w:marRight w:val="0"/>
          <w:marTop w:val="0"/>
          <w:marBottom w:val="0"/>
          <w:divBdr>
            <w:top w:val="none" w:sz="0" w:space="0" w:color="auto"/>
            <w:left w:val="none" w:sz="0" w:space="0" w:color="auto"/>
            <w:bottom w:val="none" w:sz="0" w:space="0" w:color="auto"/>
            <w:right w:val="none" w:sz="0" w:space="0" w:color="auto"/>
          </w:divBdr>
        </w:div>
        <w:div w:id="970744510">
          <w:marLeft w:val="0"/>
          <w:marRight w:val="0"/>
          <w:marTop w:val="0"/>
          <w:marBottom w:val="0"/>
          <w:divBdr>
            <w:top w:val="none" w:sz="0" w:space="0" w:color="auto"/>
            <w:left w:val="none" w:sz="0" w:space="0" w:color="auto"/>
            <w:bottom w:val="none" w:sz="0" w:space="0" w:color="auto"/>
            <w:right w:val="none" w:sz="0" w:space="0" w:color="auto"/>
          </w:divBdr>
        </w:div>
        <w:div w:id="1026951465">
          <w:marLeft w:val="0"/>
          <w:marRight w:val="0"/>
          <w:marTop w:val="0"/>
          <w:marBottom w:val="0"/>
          <w:divBdr>
            <w:top w:val="none" w:sz="0" w:space="0" w:color="auto"/>
            <w:left w:val="none" w:sz="0" w:space="0" w:color="auto"/>
            <w:bottom w:val="none" w:sz="0" w:space="0" w:color="auto"/>
            <w:right w:val="none" w:sz="0" w:space="0" w:color="auto"/>
          </w:divBdr>
        </w:div>
        <w:div w:id="1882404537">
          <w:marLeft w:val="0"/>
          <w:marRight w:val="0"/>
          <w:marTop w:val="0"/>
          <w:marBottom w:val="0"/>
          <w:divBdr>
            <w:top w:val="none" w:sz="0" w:space="0" w:color="auto"/>
            <w:left w:val="none" w:sz="0" w:space="0" w:color="auto"/>
            <w:bottom w:val="none" w:sz="0" w:space="0" w:color="auto"/>
            <w:right w:val="none" w:sz="0" w:space="0" w:color="auto"/>
          </w:divBdr>
        </w:div>
        <w:div w:id="1947879934">
          <w:marLeft w:val="0"/>
          <w:marRight w:val="0"/>
          <w:marTop w:val="0"/>
          <w:marBottom w:val="0"/>
          <w:divBdr>
            <w:top w:val="none" w:sz="0" w:space="0" w:color="auto"/>
            <w:left w:val="none" w:sz="0" w:space="0" w:color="auto"/>
            <w:bottom w:val="none" w:sz="0" w:space="0" w:color="auto"/>
            <w:right w:val="none" w:sz="0" w:space="0" w:color="auto"/>
          </w:divBdr>
        </w:div>
        <w:div w:id="653795281">
          <w:marLeft w:val="0"/>
          <w:marRight w:val="0"/>
          <w:marTop w:val="0"/>
          <w:marBottom w:val="0"/>
          <w:divBdr>
            <w:top w:val="none" w:sz="0" w:space="0" w:color="auto"/>
            <w:left w:val="none" w:sz="0" w:space="0" w:color="auto"/>
            <w:bottom w:val="none" w:sz="0" w:space="0" w:color="auto"/>
            <w:right w:val="none" w:sz="0" w:space="0" w:color="auto"/>
          </w:divBdr>
        </w:div>
        <w:div w:id="677192745">
          <w:marLeft w:val="0"/>
          <w:marRight w:val="0"/>
          <w:marTop w:val="0"/>
          <w:marBottom w:val="0"/>
          <w:divBdr>
            <w:top w:val="none" w:sz="0" w:space="0" w:color="auto"/>
            <w:left w:val="none" w:sz="0" w:space="0" w:color="auto"/>
            <w:bottom w:val="none" w:sz="0" w:space="0" w:color="auto"/>
            <w:right w:val="none" w:sz="0" w:space="0" w:color="auto"/>
          </w:divBdr>
        </w:div>
        <w:div w:id="1117677561">
          <w:marLeft w:val="0"/>
          <w:marRight w:val="0"/>
          <w:marTop w:val="0"/>
          <w:marBottom w:val="0"/>
          <w:divBdr>
            <w:top w:val="none" w:sz="0" w:space="0" w:color="auto"/>
            <w:left w:val="none" w:sz="0" w:space="0" w:color="auto"/>
            <w:bottom w:val="none" w:sz="0" w:space="0" w:color="auto"/>
            <w:right w:val="none" w:sz="0" w:space="0" w:color="auto"/>
          </w:divBdr>
        </w:div>
        <w:div w:id="1412654919">
          <w:marLeft w:val="0"/>
          <w:marRight w:val="0"/>
          <w:marTop w:val="0"/>
          <w:marBottom w:val="0"/>
          <w:divBdr>
            <w:top w:val="none" w:sz="0" w:space="0" w:color="auto"/>
            <w:left w:val="none" w:sz="0" w:space="0" w:color="auto"/>
            <w:bottom w:val="none" w:sz="0" w:space="0" w:color="auto"/>
            <w:right w:val="none" w:sz="0" w:space="0" w:color="auto"/>
          </w:divBdr>
        </w:div>
        <w:div w:id="907885164">
          <w:marLeft w:val="0"/>
          <w:marRight w:val="0"/>
          <w:marTop w:val="0"/>
          <w:marBottom w:val="0"/>
          <w:divBdr>
            <w:top w:val="none" w:sz="0" w:space="0" w:color="auto"/>
            <w:left w:val="none" w:sz="0" w:space="0" w:color="auto"/>
            <w:bottom w:val="none" w:sz="0" w:space="0" w:color="auto"/>
            <w:right w:val="none" w:sz="0" w:space="0" w:color="auto"/>
          </w:divBdr>
        </w:div>
        <w:div w:id="1821337975">
          <w:marLeft w:val="0"/>
          <w:marRight w:val="0"/>
          <w:marTop w:val="0"/>
          <w:marBottom w:val="0"/>
          <w:divBdr>
            <w:top w:val="none" w:sz="0" w:space="0" w:color="auto"/>
            <w:left w:val="none" w:sz="0" w:space="0" w:color="auto"/>
            <w:bottom w:val="none" w:sz="0" w:space="0" w:color="auto"/>
            <w:right w:val="none" w:sz="0" w:space="0" w:color="auto"/>
          </w:divBdr>
        </w:div>
        <w:div w:id="502354476">
          <w:marLeft w:val="0"/>
          <w:marRight w:val="0"/>
          <w:marTop w:val="0"/>
          <w:marBottom w:val="0"/>
          <w:divBdr>
            <w:top w:val="none" w:sz="0" w:space="0" w:color="auto"/>
            <w:left w:val="none" w:sz="0" w:space="0" w:color="auto"/>
            <w:bottom w:val="none" w:sz="0" w:space="0" w:color="auto"/>
            <w:right w:val="none" w:sz="0" w:space="0" w:color="auto"/>
          </w:divBdr>
        </w:div>
        <w:div w:id="1991979710">
          <w:marLeft w:val="0"/>
          <w:marRight w:val="0"/>
          <w:marTop w:val="0"/>
          <w:marBottom w:val="0"/>
          <w:divBdr>
            <w:top w:val="none" w:sz="0" w:space="0" w:color="auto"/>
            <w:left w:val="none" w:sz="0" w:space="0" w:color="auto"/>
            <w:bottom w:val="none" w:sz="0" w:space="0" w:color="auto"/>
            <w:right w:val="none" w:sz="0" w:space="0" w:color="auto"/>
          </w:divBdr>
        </w:div>
        <w:div w:id="1228423115">
          <w:marLeft w:val="0"/>
          <w:marRight w:val="0"/>
          <w:marTop w:val="0"/>
          <w:marBottom w:val="0"/>
          <w:divBdr>
            <w:top w:val="none" w:sz="0" w:space="0" w:color="auto"/>
            <w:left w:val="none" w:sz="0" w:space="0" w:color="auto"/>
            <w:bottom w:val="none" w:sz="0" w:space="0" w:color="auto"/>
            <w:right w:val="none" w:sz="0" w:space="0" w:color="auto"/>
          </w:divBdr>
        </w:div>
        <w:div w:id="1566334930">
          <w:marLeft w:val="0"/>
          <w:marRight w:val="0"/>
          <w:marTop w:val="0"/>
          <w:marBottom w:val="0"/>
          <w:divBdr>
            <w:top w:val="none" w:sz="0" w:space="0" w:color="auto"/>
            <w:left w:val="none" w:sz="0" w:space="0" w:color="auto"/>
            <w:bottom w:val="none" w:sz="0" w:space="0" w:color="auto"/>
            <w:right w:val="none" w:sz="0" w:space="0" w:color="auto"/>
          </w:divBdr>
        </w:div>
        <w:div w:id="803885468">
          <w:marLeft w:val="0"/>
          <w:marRight w:val="0"/>
          <w:marTop w:val="0"/>
          <w:marBottom w:val="0"/>
          <w:divBdr>
            <w:top w:val="none" w:sz="0" w:space="0" w:color="auto"/>
            <w:left w:val="none" w:sz="0" w:space="0" w:color="auto"/>
            <w:bottom w:val="none" w:sz="0" w:space="0" w:color="auto"/>
            <w:right w:val="none" w:sz="0" w:space="0" w:color="auto"/>
          </w:divBdr>
        </w:div>
        <w:div w:id="1877160534">
          <w:marLeft w:val="0"/>
          <w:marRight w:val="0"/>
          <w:marTop w:val="0"/>
          <w:marBottom w:val="0"/>
          <w:divBdr>
            <w:top w:val="none" w:sz="0" w:space="0" w:color="auto"/>
            <w:left w:val="none" w:sz="0" w:space="0" w:color="auto"/>
            <w:bottom w:val="none" w:sz="0" w:space="0" w:color="auto"/>
            <w:right w:val="none" w:sz="0" w:space="0" w:color="auto"/>
          </w:divBdr>
        </w:div>
        <w:div w:id="364603592">
          <w:marLeft w:val="0"/>
          <w:marRight w:val="0"/>
          <w:marTop w:val="0"/>
          <w:marBottom w:val="0"/>
          <w:divBdr>
            <w:top w:val="none" w:sz="0" w:space="0" w:color="auto"/>
            <w:left w:val="none" w:sz="0" w:space="0" w:color="auto"/>
            <w:bottom w:val="none" w:sz="0" w:space="0" w:color="auto"/>
            <w:right w:val="none" w:sz="0" w:space="0" w:color="auto"/>
          </w:divBdr>
        </w:div>
        <w:div w:id="2051490260">
          <w:marLeft w:val="0"/>
          <w:marRight w:val="0"/>
          <w:marTop w:val="0"/>
          <w:marBottom w:val="0"/>
          <w:divBdr>
            <w:top w:val="none" w:sz="0" w:space="0" w:color="auto"/>
            <w:left w:val="none" w:sz="0" w:space="0" w:color="auto"/>
            <w:bottom w:val="none" w:sz="0" w:space="0" w:color="auto"/>
            <w:right w:val="none" w:sz="0" w:space="0" w:color="auto"/>
          </w:divBdr>
        </w:div>
        <w:div w:id="1789153454">
          <w:marLeft w:val="0"/>
          <w:marRight w:val="0"/>
          <w:marTop w:val="0"/>
          <w:marBottom w:val="0"/>
          <w:divBdr>
            <w:top w:val="none" w:sz="0" w:space="0" w:color="auto"/>
            <w:left w:val="none" w:sz="0" w:space="0" w:color="auto"/>
            <w:bottom w:val="none" w:sz="0" w:space="0" w:color="auto"/>
            <w:right w:val="none" w:sz="0" w:space="0" w:color="auto"/>
          </w:divBdr>
        </w:div>
        <w:div w:id="1167356285">
          <w:marLeft w:val="0"/>
          <w:marRight w:val="0"/>
          <w:marTop w:val="0"/>
          <w:marBottom w:val="0"/>
          <w:divBdr>
            <w:top w:val="none" w:sz="0" w:space="0" w:color="auto"/>
            <w:left w:val="none" w:sz="0" w:space="0" w:color="auto"/>
            <w:bottom w:val="none" w:sz="0" w:space="0" w:color="auto"/>
            <w:right w:val="none" w:sz="0" w:space="0" w:color="auto"/>
          </w:divBdr>
        </w:div>
      </w:divsChild>
    </w:div>
    <w:div w:id="1686517782">
      <w:bodyDiv w:val="1"/>
      <w:marLeft w:val="0"/>
      <w:marRight w:val="0"/>
      <w:marTop w:val="0"/>
      <w:marBottom w:val="0"/>
      <w:divBdr>
        <w:top w:val="none" w:sz="0" w:space="0" w:color="auto"/>
        <w:left w:val="none" w:sz="0" w:space="0" w:color="auto"/>
        <w:bottom w:val="none" w:sz="0" w:space="0" w:color="auto"/>
        <w:right w:val="none" w:sz="0" w:space="0" w:color="auto"/>
      </w:divBdr>
      <w:divsChild>
        <w:div w:id="1642031037">
          <w:marLeft w:val="0"/>
          <w:marRight w:val="0"/>
          <w:marTop w:val="0"/>
          <w:marBottom w:val="0"/>
          <w:divBdr>
            <w:top w:val="none" w:sz="0" w:space="0" w:color="auto"/>
            <w:left w:val="none" w:sz="0" w:space="0" w:color="auto"/>
            <w:bottom w:val="none" w:sz="0" w:space="0" w:color="auto"/>
            <w:right w:val="none" w:sz="0" w:space="0" w:color="auto"/>
          </w:divBdr>
        </w:div>
        <w:div w:id="1383871620">
          <w:marLeft w:val="0"/>
          <w:marRight w:val="0"/>
          <w:marTop w:val="0"/>
          <w:marBottom w:val="0"/>
          <w:divBdr>
            <w:top w:val="none" w:sz="0" w:space="0" w:color="auto"/>
            <w:left w:val="none" w:sz="0" w:space="0" w:color="auto"/>
            <w:bottom w:val="none" w:sz="0" w:space="0" w:color="auto"/>
            <w:right w:val="none" w:sz="0" w:space="0" w:color="auto"/>
          </w:divBdr>
        </w:div>
        <w:div w:id="1092168609">
          <w:marLeft w:val="0"/>
          <w:marRight w:val="0"/>
          <w:marTop w:val="0"/>
          <w:marBottom w:val="0"/>
          <w:divBdr>
            <w:top w:val="none" w:sz="0" w:space="0" w:color="auto"/>
            <w:left w:val="none" w:sz="0" w:space="0" w:color="auto"/>
            <w:bottom w:val="none" w:sz="0" w:space="0" w:color="auto"/>
            <w:right w:val="none" w:sz="0" w:space="0" w:color="auto"/>
          </w:divBdr>
        </w:div>
        <w:div w:id="1731952551">
          <w:marLeft w:val="0"/>
          <w:marRight w:val="0"/>
          <w:marTop w:val="0"/>
          <w:marBottom w:val="0"/>
          <w:divBdr>
            <w:top w:val="none" w:sz="0" w:space="0" w:color="auto"/>
            <w:left w:val="none" w:sz="0" w:space="0" w:color="auto"/>
            <w:bottom w:val="none" w:sz="0" w:space="0" w:color="auto"/>
            <w:right w:val="none" w:sz="0" w:space="0" w:color="auto"/>
          </w:divBdr>
        </w:div>
        <w:div w:id="1437209918">
          <w:marLeft w:val="0"/>
          <w:marRight w:val="0"/>
          <w:marTop w:val="0"/>
          <w:marBottom w:val="0"/>
          <w:divBdr>
            <w:top w:val="none" w:sz="0" w:space="0" w:color="auto"/>
            <w:left w:val="none" w:sz="0" w:space="0" w:color="auto"/>
            <w:bottom w:val="none" w:sz="0" w:space="0" w:color="auto"/>
            <w:right w:val="none" w:sz="0" w:space="0" w:color="auto"/>
          </w:divBdr>
        </w:div>
        <w:div w:id="2068524810">
          <w:marLeft w:val="0"/>
          <w:marRight w:val="0"/>
          <w:marTop w:val="0"/>
          <w:marBottom w:val="0"/>
          <w:divBdr>
            <w:top w:val="none" w:sz="0" w:space="0" w:color="auto"/>
            <w:left w:val="none" w:sz="0" w:space="0" w:color="auto"/>
            <w:bottom w:val="none" w:sz="0" w:space="0" w:color="auto"/>
            <w:right w:val="none" w:sz="0" w:space="0" w:color="auto"/>
          </w:divBdr>
        </w:div>
        <w:div w:id="846406219">
          <w:marLeft w:val="0"/>
          <w:marRight w:val="0"/>
          <w:marTop w:val="0"/>
          <w:marBottom w:val="0"/>
          <w:divBdr>
            <w:top w:val="none" w:sz="0" w:space="0" w:color="auto"/>
            <w:left w:val="none" w:sz="0" w:space="0" w:color="auto"/>
            <w:bottom w:val="none" w:sz="0" w:space="0" w:color="auto"/>
            <w:right w:val="none" w:sz="0" w:space="0" w:color="auto"/>
          </w:divBdr>
        </w:div>
        <w:div w:id="614094402">
          <w:marLeft w:val="0"/>
          <w:marRight w:val="0"/>
          <w:marTop w:val="0"/>
          <w:marBottom w:val="0"/>
          <w:divBdr>
            <w:top w:val="none" w:sz="0" w:space="0" w:color="auto"/>
            <w:left w:val="none" w:sz="0" w:space="0" w:color="auto"/>
            <w:bottom w:val="none" w:sz="0" w:space="0" w:color="auto"/>
            <w:right w:val="none" w:sz="0" w:space="0" w:color="auto"/>
          </w:divBdr>
        </w:div>
        <w:div w:id="1079061702">
          <w:marLeft w:val="0"/>
          <w:marRight w:val="0"/>
          <w:marTop w:val="0"/>
          <w:marBottom w:val="0"/>
          <w:divBdr>
            <w:top w:val="none" w:sz="0" w:space="0" w:color="auto"/>
            <w:left w:val="none" w:sz="0" w:space="0" w:color="auto"/>
            <w:bottom w:val="none" w:sz="0" w:space="0" w:color="auto"/>
            <w:right w:val="none" w:sz="0" w:space="0" w:color="auto"/>
          </w:divBdr>
        </w:div>
        <w:div w:id="1118455951">
          <w:marLeft w:val="0"/>
          <w:marRight w:val="0"/>
          <w:marTop w:val="0"/>
          <w:marBottom w:val="0"/>
          <w:divBdr>
            <w:top w:val="none" w:sz="0" w:space="0" w:color="auto"/>
            <w:left w:val="none" w:sz="0" w:space="0" w:color="auto"/>
            <w:bottom w:val="none" w:sz="0" w:space="0" w:color="auto"/>
            <w:right w:val="none" w:sz="0" w:space="0" w:color="auto"/>
          </w:divBdr>
        </w:div>
        <w:div w:id="1028142918">
          <w:marLeft w:val="0"/>
          <w:marRight w:val="0"/>
          <w:marTop w:val="0"/>
          <w:marBottom w:val="0"/>
          <w:divBdr>
            <w:top w:val="none" w:sz="0" w:space="0" w:color="auto"/>
            <w:left w:val="none" w:sz="0" w:space="0" w:color="auto"/>
            <w:bottom w:val="none" w:sz="0" w:space="0" w:color="auto"/>
            <w:right w:val="none" w:sz="0" w:space="0" w:color="auto"/>
          </w:divBdr>
        </w:div>
        <w:div w:id="2143427769">
          <w:marLeft w:val="0"/>
          <w:marRight w:val="0"/>
          <w:marTop w:val="0"/>
          <w:marBottom w:val="0"/>
          <w:divBdr>
            <w:top w:val="none" w:sz="0" w:space="0" w:color="auto"/>
            <w:left w:val="none" w:sz="0" w:space="0" w:color="auto"/>
            <w:bottom w:val="none" w:sz="0" w:space="0" w:color="auto"/>
            <w:right w:val="none" w:sz="0" w:space="0" w:color="auto"/>
          </w:divBdr>
        </w:div>
        <w:div w:id="1981302954">
          <w:marLeft w:val="0"/>
          <w:marRight w:val="0"/>
          <w:marTop w:val="0"/>
          <w:marBottom w:val="0"/>
          <w:divBdr>
            <w:top w:val="none" w:sz="0" w:space="0" w:color="auto"/>
            <w:left w:val="none" w:sz="0" w:space="0" w:color="auto"/>
            <w:bottom w:val="none" w:sz="0" w:space="0" w:color="auto"/>
            <w:right w:val="none" w:sz="0" w:space="0" w:color="auto"/>
          </w:divBdr>
        </w:div>
        <w:div w:id="816146048">
          <w:marLeft w:val="0"/>
          <w:marRight w:val="0"/>
          <w:marTop w:val="0"/>
          <w:marBottom w:val="0"/>
          <w:divBdr>
            <w:top w:val="none" w:sz="0" w:space="0" w:color="auto"/>
            <w:left w:val="none" w:sz="0" w:space="0" w:color="auto"/>
            <w:bottom w:val="none" w:sz="0" w:space="0" w:color="auto"/>
            <w:right w:val="none" w:sz="0" w:space="0" w:color="auto"/>
          </w:divBdr>
        </w:div>
        <w:div w:id="1375347053">
          <w:marLeft w:val="0"/>
          <w:marRight w:val="0"/>
          <w:marTop w:val="0"/>
          <w:marBottom w:val="0"/>
          <w:divBdr>
            <w:top w:val="none" w:sz="0" w:space="0" w:color="auto"/>
            <w:left w:val="none" w:sz="0" w:space="0" w:color="auto"/>
            <w:bottom w:val="none" w:sz="0" w:space="0" w:color="auto"/>
            <w:right w:val="none" w:sz="0" w:space="0" w:color="auto"/>
          </w:divBdr>
        </w:div>
        <w:div w:id="1713113139">
          <w:marLeft w:val="0"/>
          <w:marRight w:val="0"/>
          <w:marTop w:val="0"/>
          <w:marBottom w:val="0"/>
          <w:divBdr>
            <w:top w:val="none" w:sz="0" w:space="0" w:color="auto"/>
            <w:left w:val="none" w:sz="0" w:space="0" w:color="auto"/>
            <w:bottom w:val="none" w:sz="0" w:space="0" w:color="auto"/>
            <w:right w:val="none" w:sz="0" w:space="0" w:color="auto"/>
          </w:divBdr>
        </w:div>
        <w:div w:id="187959202">
          <w:marLeft w:val="0"/>
          <w:marRight w:val="0"/>
          <w:marTop w:val="0"/>
          <w:marBottom w:val="0"/>
          <w:divBdr>
            <w:top w:val="none" w:sz="0" w:space="0" w:color="auto"/>
            <w:left w:val="none" w:sz="0" w:space="0" w:color="auto"/>
            <w:bottom w:val="none" w:sz="0" w:space="0" w:color="auto"/>
            <w:right w:val="none" w:sz="0" w:space="0" w:color="auto"/>
          </w:divBdr>
        </w:div>
        <w:div w:id="1783300665">
          <w:marLeft w:val="0"/>
          <w:marRight w:val="0"/>
          <w:marTop w:val="0"/>
          <w:marBottom w:val="0"/>
          <w:divBdr>
            <w:top w:val="none" w:sz="0" w:space="0" w:color="auto"/>
            <w:left w:val="none" w:sz="0" w:space="0" w:color="auto"/>
            <w:bottom w:val="none" w:sz="0" w:space="0" w:color="auto"/>
            <w:right w:val="none" w:sz="0" w:space="0" w:color="auto"/>
          </w:divBdr>
        </w:div>
        <w:div w:id="1465852223">
          <w:marLeft w:val="0"/>
          <w:marRight w:val="0"/>
          <w:marTop w:val="0"/>
          <w:marBottom w:val="0"/>
          <w:divBdr>
            <w:top w:val="none" w:sz="0" w:space="0" w:color="auto"/>
            <w:left w:val="none" w:sz="0" w:space="0" w:color="auto"/>
            <w:bottom w:val="none" w:sz="0" w:space="0" w:color="auto"/>
            <w:right w:val="none" w:sz="0" w:space="0" w:color="auto"/>
          </w:divBdr>
        </w:div>
        <w:div w:id="133528036">
          <w:marLeft w:val="0"/>
          <w:marRight w:val="0"/>
          <w:marTop w:val="0"/>
          <w:marBottom w:val="0"/>
          <w:divBdr>
            <w:top w:val="none" w:sz="0" w:space="0" w:color="auto"/>
            <w:left w:val="none" w:sz="0" w:space="0" w:color="auto"/>
            <w:bottom w:val="none" w:sz="0" w:space="0" w:color="auto"/>
            <w:right w:val="none" w:sz="0" w:space="0" w:color="auto"/>
          </w:divBdr>
        </w:div>
        <w:div w:id="1415936028">
          <w:marLeft w:val="0"/>
          <w:marRight w:val="0"/>
          <w:marTop w:val="0"/>
          <w:marBottom w:val="0"/>
          <w:divBdr>
            <w:top w:val="none" w:sz="0" w:space="0" w:color="auto"/>
            <w:left w:val="none" w:sz="0" w:space="0" w:color="auto"/>
            <w:bottom w:val="none" w:sz="0" w:space="0" w:color="auto"/>
            <w:right w:val="none" w:sz="0" w:space="0" w:color="auto"/>
          </w:divBdr>
        </w:div>
        <w:div w:id="91558323">
          <w:marLeft w:val="0"/>
          <w:marRight w:val="0"/>
          <w:marTop w:val="0"/>
          <w:marBottom w:val="0"/>
          <w:divBdr>
            <w:top w:val="none" w:sz="0" w:space="0" w:color="auto"/>
            <w:left w:val="none" w:sz="0" w:space="0" w:color="auto"/>
            <w:bottom w:val="none" w:sz="0" w:space="0" w:color="auto"/>
            <w:right w:val="none" w:sz="0" w:space="0" w:color="auto"/>
          </w:divBdr>
        </w:div>
        <w:div w:id="463231877">
          <w:marLeft w:val="0"/>
          <w:marRight w:val="0"/>
          <w:marTop w:val="0"/>
          <w:marBottom w:val="0"/>
          <w:divBdr>
            <w:top w:val="none" w:sz="0" w:space="0" w:color="auto"/>
            <w:left w:val="none" w:sz="0" w:space="0" w:color="auto"/>
            <w:bottom w:val="none" w:sz="0" w:space="0" w:color="auto"/>
            <w:right w:val="none" w:sz="0" w:space="0" w:color="auto"/>
          </w:divBdr>
        </w:div>
        <w:div w:id="567614628">
          <w:marLeft w:val="0"/>
          <w:marRight w:val="0"/>
          <w:marTop w:val="0"/>
          <w:marBottom w:val="0"/>
          <w:divBdr>
            <w:top w:val="none" w:sz="0" w:space="0" w:color="auto"/>
            <w:left w:val="none" w:sz="0" w:space="0" w:color="auto"/>
            <w:bottom w:val="none" w:sz="0" w:space="0" w:color="auto"/>
            <w:right w:val="none" w:sz="0" w:space="0" w:color="auto"/>
          </w:divBdr>
        </w:div>
        <w:div w:id="1048727118">
          <w:marLeft w:val="0"/>
          <w:marRight w:val="0"/>
          <w:marTop w:val="0"/>
          <w:marBottom w:val="0"/>
          <w:divBdr>
            <w:top w:val="none" w:sz="0" w:space="0" w:color="auto"/>
            <w:left w:val="none" w:sz="0" w:space="0" w:color="auto"/>
            <w:bottom w:val="none" w:sz="0" w:space="0" w:color="auto"/>
            <w:right w:val="none" w:sz="0" w:space="0" w:color="auto"/>
          </w:divBdr>
        </w:div>
        <w:div w:id="835148073">
          <w:marLeft w:val="0"/>
          <w:marRight w:val="0"/>
          <w:marTop w:val="0"/>
          <w:marBottom w:val="0"/>
          <w:divBdr>
            <w:top w:val="none" w:sz="0" w:space="0" w:color="auto"/>
            <w:left w:val="none" w:sz="0" w:space="0" w:color="auto"/>
            <w:bottom w:val="none" w:sz="0" w:space="0" w:color="auto"/>
            <w:right w:val="none" w:sz="0" w:space="0" w:color="auto"/>
          </w:divBdr>
        </w:div>
        <w:div w:id="560529733">
          <w:marLeft w:val="0"/>
          <w:marRight w:val="0"/>
          <w:marTop w:val="0"/>
          <w:marBottom w:val="0"/>
          <w:divBdr>
            <w:top w:val="none" w:sz="0" w:space="0" w:color="auto"/>
            <w:left w:val="none" w:sz="0" w:space="0" w:color="auto"/>
            <w:bottom w:val="none" w:sz="0" w:space="0" w:color="auto"/>
            <w:right w:val="none" w:sz="0" w:space="0" w:color="auto"/>
          </w:divBdr>
        </w:div>
        <w:div w:id="721683091">
          <w:marLeft w:val="0"/>
          <w:marRight w:val="0"/>
          <w:marTop w:val="0"/>
          <w:marBottom w:val="0"/>
          <w:divBdr>
            <w:top w:val="none" w:sz="0" w:space="0" w:color="auto"/>
            <w:left w:val="none" w:sz="0" w:space="0" w:color="auto"/>
            <w:bottom w:val="none" w:sz="0" w:space="0" w:color="auto"/>
            <w:right w:val="none" w:sz="0" w:space="0" w:color="auto"/>
          </w:divBdr>
        </w:div>
        <w:div w:id="1563177227">
          <w:marLeft w:val="0"/>
          <w:marRight w:val="0"/>
          <w:marTop w:val="0"/>
          <w:marBottom w:val="0"/>
          <w:divBdr>
            <w:top w:val="none" w:sz="0" w:space="0" w:color="auto"/>
            <w:left w:val="none" w:sz="0" w:space="0" w:color="auto"/>
            <w:bottom w:val="none" w:sz="0" w:space="0" w:color="auto"/>
            <w:right w:val="none" w:sz="0" w:space="0" w:color="auto"/>
          </w:divBdr>
        </w:div>
        <w:div w:id="2114355195">
          <w:marLeft w:val="0"/>
          <w:marRight w:val="0"/>
          <w:marTop w:val="0"/>
          <w:marBottom w:val="0"/>
          <w:divBdr>
            <w:top w:val="none" w:sz="0" w:space="0" w:color="auto"/>
            <w:left w:val="none" w:sz="0" w:space="0" w:color="auto"/>
            <w:bottom w:val="none" w:sz="0" w:space="0" w:color="auto"/>
            <w:right w:val="none" w:sz="0" w:space="0" w:color="auto"/>
          </w:divBdr>
        </w:div>
        <w:div w:id="1831403801">
          <w:marLeft w:val="0"/>
          <w:marRight w:val="0"/>
          <w:marTop w:val="0"/>
          <w:marBottom w:val="0"/>
          <w:divBdr>
            <w:top w:val="none" w:sz="0" w:space="0" w:color="auto"/>
            <w:left w:val="none" w:sz="0" w:space="0" w:color="auto"/>
            <w:bottom w:val="none" w:sz="0" w:space="0" w:color="auto"/>
            <w:right w:val="none" w:sz="0" w:space="0" w:color="auto"/>
          </w:divBdr>
        </w:div>
        <w:div w:id="419258859">
          <w:marLeft w:val="0"/>
          <w:marRight w:val="0"/>
          <w:marTop w:val="0"/>
          <w:marBottom w:val="0"/>
          <w:divBdr>
            <w:top w:val="none" w:sz="0" w:space="0" w:color="auto"/>
            <w:left w:val="none" w:sz="0" w:space="0" w:color="auto"/>
            <w:bottom w:val="none" w:sz="0" w:space="0" w:color="auto"/>
            <w:right w:val="none" w:sz="0" w:space="0" w:color="auto"/>
          </w:divBdr>
        </w:div>
        <w:div w:id="552158839">
          <w:marLeft w:val="0"/>
          <w:marRight w:val="0"/>
          <w:marTop w:val="0"/>
          <w:marBottom w:val="0"/>
          <w:divBdr>
            <w:top w:val="none" w:sz="0" w:space="0" w:color="auto"/>
            <w:left w:val="none" w:sz="0" w:space="0" w:color="auto"/>
            <w:bottom w:val="none" w:sz="0" w:space="0" w:color="auto"/>
            <w:right w:val="none" w:sz="0" w:space="0" w:color="auto"/>
          </w:divBdr>
        </w:div>
        <w:div w:id="1530337286">
          <w:marLeft w:val="0"/>
          <w:marRight w:val="0"/>
          <w:marTop w:val="0"/>
          <w:marBottom w:val="0"/>
          <w:divBdr>
            <w:top w:val="none" w:sz="0" w:space="0" w:color="auto"/>
            <w:left w:val="none" w:sz="0" w:space="0" w:color="auto"/>
            <w:bottom w:val="none" w:sz="0" w:space="0" w:color="auto"/>
            <w:right w:val="none" w:sz="0" w:space="0" w:color="auto"/>
          </w:divBdr>
        </w:div>
        <w:div w:id="548301713">
          <w:marLeft w:val="0"/>
          <w:marRight w:val="0"/>
          <w:marTop w:val="0"/>
          <w:marBottom w:val="0"/>
          <w:divBdr>
            <w:top w:val="none" w:sz="0" w:space="0" w:color="auto"/>
            <w:left w:val="none" w:sz="0" w:space="0" w:color="auto"/>
            <w:bottom w:val="none" w:sz="0" w:space="0" w:color="auto"/>
            <w:right w:val="none" w:sz="0" w:space="0" w:color="auto"/>
          </w:divBdr>
        </w:div>
        <w:div w:id="836306881">
          <w:marLeft w:val="0"/>
          <w:marRight w:val="0"/>
          <w:marTop w:val="0"/>
          <w:marBottom w:val="0"/>
          <w:divBdr>
            <w:top w:val="none" w:sz="0" w:space="0" w:color="auto"/>
            <w:left w:val="none" w:sz="0" w:space="0" w:color="auto"/>
            <w:bottom w:val="none" w:sz="0" w:space="0" w:color="auto"/>
            <w:right w:val="none" w:sz="0" w:space="0" w:color="auto"/>
          </w:divBdr>
        </w:div>
        <w:div w:id="280767655">
          <w:marLeft w:val="0"/>
          <w:marRight w:val="0"/>
          <w:marTop w:val="0"/>
          <w:marBottom w:val="0"/>
          <w:divBdr>
            <w:top w:val="none" w:sz="0" w:space="0" w:color="auto"/>
            <w:left w:val="none" w:sz="0" w:space="0" w:color="auto"/>
            <w:bottom w:val="none" w:sz="0" w:space="0" w:color="auto"/>
            <w:right w:val="none" w:sz="0" w:space="0" w:color="auto"/>
          </w:divBdr>
        </w:div>
        <w:div w:id="494494853">
          <w:marLeft w:val="0"/>
          <w:marRight w:val="0"/>
          <w:marTop w:val="0"/>
          <w:marBottom w:val="0"/>
          <w:divBdr>
            <w:top w:val="none" w:sz="0" w:space="0" w:color="auto"/>
            <w:left w:val="none" w:sz="0" w:space="0" w:color="auto"/>
            <w:bottom w:val="none" w:sz="0" w:space="0" w:color="auto"/>
            <w:right w:val="none" w:sz="0" w:space="0" w:color="auto"/>
          </w:divBdr>
        </w:div>
        <w:div w:id="1793405326">
          <w:marLeft w:val="0"/>
          <w:marRight w:val="0"/>
          <w:marTop w:val="0"/>
          <w:marBottom w:val="0"/>
          <w:divBdr>
            <w:top w:val="none" w:sz="0" w:space="0" w:color="auto"/>
            <w:left w:val="none" w:sz="0" w:space="0" w:color="auto"/>
            <w:bottom w:val="none" w:sz="0" w:space="0" w:color="auto"/>
            <w:right w:val="none" w:sz="0" w:space="0" w:color="auto"/>
          </w:divBdr>
        </w:div>
        <w:div w:id="533815017">
          <w:marLeft w:val="0"/>
          <w:marRight w:val="0"/>
          <w:marTop w:val="0"/>
          <w:marBottom w:val="0"/>
          <w:divBdr>
            <w:top w:val="none" w:sz="0" w:space="0" w:color="auto"/>
            <w:left w:val="none" w:sz="0" w:space="0" w:color="auto"/>
            <w:bottom w:val="none" w:sz="0" w:space="0" w:color="auto"/>
            <w:right w:val="none" w:sz="0" w:space="0" w:color="auto"/>
          </w:divBdr>
        </w:div>
        <w:div w:id="1075592351">
          <w:marLeft w:val="0"/>
          <w:marRight w:val="0"/>
          <w:marTop w:val="0"/>
          <w:marBottom w:val="0"/>
          <w:divBdr>
            <w:top w:val="none" w:sz="0" w:space="0" w:color="auto"/>
            <w:left w:val="none" w:sz="0" w:space="0" w:color="auto"/>
            <w:bottom w:val="none" w:sz="0" w:space="0" w:color="auto"/>
            <w:right w:val="none" w:sz="0" w:space="0" w:color="auto"/>
          </w:divBdr>
        </w:div>
        <w:div w:id="940912891">
          <w:marLeft w:val="0"/>
          <w:marRight w:val="0"/>
          <w:marTop w:val="0"/>
          <w:marBottom w:val="0"/>
          <w:divBdr>
            <w:top w:val="none" w:sz="0" w:space="0" w:color="auto"/>
            <w:left w:val="none" w:sz="0" w:space="0" w:color="auto"/>
            <w:bottom w:val="none" w:sz="0" w:space="0" w:color="auto"/>
            <w:right w:val="none" w:sz="0" w:space="0" w:color="auto"/>
          </w:divBdr>
        </w:div>
        <w:div w:id="829635842">
          <w:marLeft w:val="0"/>
          <w:marRight w:val="0"/>
          <w:marTop w:val="0"/>
          <w:marBottom w:val="0"/>
          <w:divBdr>
            <w:top w:val="none" w:sz="0" w:space="0" w:color="auto"/>
            <w:left w:val="none" w:sz="0" w:space="0" w:color="auto"/>
            <w:bottom w:val="none" w:sz="0" w:space="0" w:color="auto"/>
            <w:right w:val="none" w:sz="0" w:space="0" w:color="auto"/>
          </w:divBdr>
        </w:div>
        <w:div w:id="189493982">
          <w:marLeft w:val="0"/>
          <w:marRight w:val="0"/>
          <w:marTop w:val="0"/>
          <w:marBottom w:val="0"/>
          <w:divBdr>
            <w:top w:val="none" w:sz="0" w:space="0" w:color="auto"/>
            <w:left w:val="none" w:sz="0" w:space="0" w:color="auto"/>
            <w:bottom w:val="none" w:sz="0" w:space="0" w:color="auto"/>
            <w:right w:val="none" w:sz="0" w:space="0" w:color="auto"/>
          </w:divBdr>
        </w:div>
        <w:div w:id="1506629148">
          <w:marLeft w:val="0"/>
          <w:marRight w:val="0"/>
          <w:marTop w:val="0"/>
          <w:marBottom w:val="0"/>
          <w:divBdr>
            <w:top w:val="none" w:sz="0" w:space="0" w:color="auto"/>
            <w:left w:val="none" w:sz="0" w:space="0" w:color="auto"/>
            <w:bottom w:val="none" w:sz="0" w:space="0" w:color="auto"/>
            <w:right w:val="none" w:sz="0" w:space="0" w:color="auto"/>
          </w:divBdr>
        </w:div>
        <w:div w:id="516189793">
          <w:marLeft w:val="0"/>
          <w:marRight w:val="0"/>
          <w:marTop w:val="0"/>
          <w:marBottom w:val="0"/>
          <w:divBdr>
            <w:top w:val="none" w:sz="0" w:space="0" w:color="auto"/>
            <w:left w:val="none" w:sz="0" w:space="0" w:color="auto"/>
            <w:bottom w:val="none" w:sz="0" w:space="0" w:color="auto"/>
            <w:right w:val="none" w:sz="0" w:space="0" w:color="auto"/>
          </w:divBdr>
        </w:div>
        <w:div w:id="729226824">
          <w:marLeft w:val="0"/>
          <w:marRight w:val="0"/>
          <w:marTop w:val="0"/>
          <w:marBottom w:val="0"/>
          <w:divBdr>
            <w:top w:val="none" w:sz="0" w:space="0" w:color="auto"/>
            <w:left w:val="none" w:sz="0" w:space="0" w:color="auto"/>
            <w:bottom w:val="none" w:sz="0" w:space="0" w:color="auto"/>
            <w:right w:val="none" w:sz="0" w:space="0" w:color="auto"/>
          </w:divBdr>
        </w:div>
        <w:div w:id="1333529915">
          <w:marLeft w:val="0"/>
          <w:marRight w:val="0"/>
          <w:marTop w:val="0"/>
          <w:marBottom w:val="0"/>
          <w:divBdr>
            <w:top w:val="none" w:sz="0" w:space="0" w:color="auto"/>
            <w:left w:val="none" w:sz="0" w:space="0" w:color="auto"/>
            <w:bottom w:val="none" w:sz="0" w:space="0" w:color="auto"/>
            <w:right w:val="none" w:sz="0" w:space="0" w:color="auto"/>
          </w:divBdr>
        </w:div>
        <w:div w:id="650671222">
          <w:marLeft w:val="0"/>
          <w:marRight w:val="0"/>
          <w:marTop w:val="0"/>
          <w:marBottom w:val="0"/>
          <w:divBdr>
            <w:top w:val="none" w:sz="0" w:space="0" w:color="auto"/>
            <w:left w:val="none" w:sz="0" w:space="0" w:color="auto"/>
            <w:bottom w:val="none" w:sz="0" w:space="0" w:color="auto"/>
            <w:right w:val="none" w:sz="0" w:space="0" w:color="auto"/>
          </w:divBdr>
        </w:div>
        <w:div w:id="174423938">
          <w:marLeft w:val="0"/>
          <w:marRight w:val="0"/>
          <w:marTop w:val="0"/>
          <w:marBottom w:val="0"/>
          <w:divBdr>
            <w:top w:val="none" w:sz="0" w:space="0" w:color="auto"/>
            <w:left w:val="none" w:sz="0" w:space="0" w:color="auto"/>
            <w:bottom w:val="none" w:sz="0" w:space="0" w:color="auto"/>
            <w:right w:val="none" w:sz="0" w:space="0" w:color="auto"/>
          </w:divBdr>
        </w:div>
        <w:div w:id="1156218513">
          <w:marLeft w:val="0"/>
          <w:marRight w:val="0"/>
          <w:marTop w:val="0"/>
          <w:marBottom w:val="0"/>
          <w:divBdr>
            <w:top w:val="none" w:sz="0" w:space="0" w:color="auto"/>
            <w:left w:val="none" w:sz="0" w:space="0" w:color="auto"/>
            <w:bottom w:val="none" w:sz="0" w:space="0" w:color="auto"/>
            <w:right w:val="none" w:sz="0" w:space="0" w:color="auto"/>
          </w:divBdr>
        </w:div>
        <w:div w:id="867908487">
          <w:marLeft w:val="0"/>
          <w:marRight w:val="0"/>
          <w:marTop w:val="0"/>
          <w:marBottom w:val="0"/>
          <w:divBdr>
            <w:top w:val="none" w:sz="0" w:space="0" w:color="auto"/>
            <w:left w:val="none" w:sz="0" w:space="0" w:color="auto"/>
            <w:bottom w:val="none" w:sz="0" w:space="0" w:color="auto"/>
            <w:right w:val="none" w:sz="0" w:space="0" w:color="auto"/>
          </w:divBdr>
        </w:div>
        <w:div w:id="1235118694">
          <w:marLeft w:val="0"/>
          <w:marRight w:val="0"/>
          <w:marTop w:val="0"/>
          <w:marBottom w:val="0"/>
          <w:divBdr>
            <w:top w:val="none" w:sz="0" w:space="0" w:color="auto"/>
            <w:left w:val="none" w:sz="0" w:space="0" w:color="auto"/>
            <w:bottom w:val="none" w:sz="0" w:space="0" w:color="auto"/>
            <w:right w:val="none" w:sz="0" w:space="0" w:color="auto"/>
          </w:divBdr>
        </w:div>
        <w:div w:id="37166209">
          <w:marLeft w:val="0"/>
          <w:marRight w:val="0"/>
          <w:marTop w:val="0"/>
          <w:marBottom w:val="0"/>
          <w:divBdr>
            <w:top w:val="none" w:sz="0" w:space="0" w:color="auto"/>
            <w:left w:val="none" w:sz="0" w:space="0" w:color="auto"/>
            <w:bottom w:val="none" w:sz="0" w:space="0" w:color="auto"/>
            <w:right w:val="none" w:sz="0" w:space="0" w:color="auto"/>
          </w:divBdr>
        </w:div>
        <w:div w:id="339235718">
          <w:marLeft w:val="0"/>
          <w:marRight w:val="0"/>
          <w:marTop w:val="0"/>
          <w:marBottom w:val="0"/>
          <w:divBdr>
            <w:top w:val="none" w:sz="0" w:space="0" w:color="auto"/>
            <w:left w:val="none" w:sz="0" w:space="0" w:color="auto"/>
            <w:bottom w:val="none" w:sz="0" w:space="0" w:color="auto"/>
            <w:right w:val="none" w:sz="0" w:space="0" w:color="auto"/>
          </w:divBdr>
        </w:div>
        <w:div w:id="1334642999">
          <w:marLeft w:val="0"/>
          <w:marRight w:val="0"/>
          <w:marTop w:val="0"/>
          <w:marBottom w:val="0"/>
          <w:divBdr>
            <w:top w:val="none" w:sz="0" w:space="0" w:color="auto"/>
            <w:left w:val="none" w:sz="0" w:space="0" w:color="auto"/>
            <w:bottom w:val="none" w:sz="0" w:space="0" w:color="auto"/>
            <w:right w:val="none" w:sz="0" w:space="0" w:color="auto"/>
          </w:divBdr>
        </w:div>
        <w:div w:id="69546052">
          <w:marLeft w:val="0"/>
          <w:marRight w:val="0"/>
          <w:marTop w:val="0"/>
          <w:marBottom w:val="0"/>
          <w:divBdr>
            <w:top w:val="none" w:sz="0" w:space="0" w:color="auto"/>
            <w:left w:val="none" w:sz="0" w:space="0" w:color="auto"/>
            <w:bottom w:val="none" w:sz="0" w:space="0" w:color="auto"/>
            <w:right w:val="none" w:sz="0" w:space="0" w:color="auto"/>
          </w:divBdr>
        </w:div>
        <w:div w:id="1037388325">
          <w:marLeft w:val="0"/>
          <w:marRight w:val="0"/>
          <w:marTop w:val="0"/>
          <w:marBottom w:val="0"/>
          <w:divBdr>
            <w:top w:val="none" w:sz="0" w:space="0" w:color="auto"/>
            <w:left w:val="none" w:sz="0" w:space="0" w:color="auto"/>
            <w:bottom w:val="none" w:sz="0" w:space="0" w:color="auto"/>
            <w:right w:val="none" w:sz="0" w:space="0" w:color="auto"/>
          </w:divBdr>
        </w:div>
        <w:div w:id="259222057">
          <w:marLeft w:val="0"/>
          <w:marRight w:val="0"/>
          <w:marTop w:val="0"/>
          <w:marBottom w:val="0"/>
          <w:divBdr>
            <w:top w:val="none" w:sz="0" w:space="0" w:color="auto"/>
            <w:left w:val="none" w:sz="0" w:space="0" w:color="auto"/>
            <w:bottom w:val="none" w:sz="0" w:space="0" w:color="auto"/>
            <w:right w:val="none" w:sz="0" w:space="0" w:color="auto"/>
          </w:divBdr>
        </w:div>
        <w:div w:id="1048800264">
          <w:marLeft w:val="0"/>
          <w:marRight w:val="0"/>
          <w:marTop w:val="0"/>
          <w:marBottom w:val="0"/>
          <w:divBdr>
            <w:top w:val="none" w:sz="0" w:space="0" w:color="auto"/>
            <w:left w:val="none" w:sz="0" w:space="0" w:color="auto"/>
            <w:bottom w:val="none" w:sz="0" w:space="0" w:color="auto"/>
            <w:right w:val="none" w:sz="0" w:space="0" w:color="auto"/>
          </w:divBdr>
        </w:div>
        <w:div w:id="424806706">
          <w:marLeft w:val="0"/>
          <w:marRight w:val="0"/>
          <w:marTop w:val="0"/>
          <w:marBottom w:val="0"/>
          <w:divBdr>
            <w:top w:val="none" w:sz="0" w:space="0" w:color="auto"/>
            <w:left w:val="none" w:sz="0" w:space="0" w:color="auto"/>
            <w:bottom w:val="none" w:sz="0" w:space="0" w:color="auto"/>
            <w:right w:val="none" w:sz="0" w:space="0" w:color="auto"/>
          </w:divBdr>
        </w:div>
        <w:div w:id="1473013111">
          <w:marLeft w:val="0"/>
          <w:marRight w:val="0"/>
          <w:marTop w:val="0"/>
          <w:marBottom w:val="0"/>
          <w:divBdr>
            <w:top w:val="none" w:sz="0" w:space="0" w:color="auto"/>
            <w:left w:val="none" w:sz="0" w:space="0" w:color="auto"/>
            <w:bottom w:val="none" w:sz="0" w:space="0" w:color="auto"/>
            <w:right w:val="none" w:sz="0" w:space="0" w:color="auto"/>
          </w:divBdr>
        </w:div>
        <w:div w:id="867063441">
          <w:marLeft w:val="0"/>
          <w:marRight w:val="0"/>
          <w:marTop w:val="0"/>
          <w:marBottom w:val="0"/>
          <w:divBdr>
            <w:top w:val="none" w:sz="0" w:space="0" w:color="auto"/>
            <w:left w:val="none" w:sz="0" w:space="0" w:color="auto"/>
            <w:bottom w:val="none" w:sz="0" w:space="0" w:color="auto"/>
            <w:right w:val="none" w:sz="0" w:space="0" w:color="auto"/>
          </w:divBdr>
        </w:div>
        <w:div w:id="203251137">
          <w:marLeft w:val="0"/>
          <w:marRight w:val="0"/>
          <w:marTop w:val="0"/>
          <w:marBottom w:val="0"/>
          <w:divBdr>
            <w:top w:val="none" w:sz="0" w:space="0" w:color="auto"/>
            <w:left w:val="none" w:sz="0" w:space="0" w:color="auto"/>
            <w:bottom w:val="none" w:sz="0" w:space="0" w:color="auto"/>
            <w:right w:val="none" w:sz="0" w:space="0" w:color="auto"/>
          </w:divBdr>
        </w:div>
        <w:div w:id="1226062837">
          <w:marLeft w:val="0"/>
          <w:marRight w:val="0"/>
          <w:marTop w:val="0"/>
          <w:marBottom w:val="0"/>
          <w:divBdr>
            <w:top w:val="none" w:sz="0" w:space="0" w:color="auto"/>
            <w:left w:val="none" w:sz="0" w:space="0" w:color="auto"/>
            <w:bottom w:val="none" w:sz="0" w:space="0" w:color="auto"/>
            <w:right w:val="none" w:sz="0" w:space="0" w:color="auto"/>
          </w:divBdr>
        </w:div>
        <w:div w:id="1030178760">
          <w:marLeft w:val="0"/>
          <w:marRight w:val="0"/>
          <w:marTop w:val="0"/>
          <w:marBottom w:val="0"/>
          <w:divBdr>
            <w:top w:val="none" w:sz="0" w:space="0" w:color="auto"/>
            <w:left w:val="none" w:sz="0" w:space="0" w:color="auto"/>
            <w:bottom w:val="none" w:sz="0" w:space="0" w:color="auto"/>
            <w:right w:val="none" w:sz="0" w:space="0" w:color="auto"/>
          </w:divBdr>
        </w:div>
        <w:div w:id="1511408888">
          <w:marLeft w:val="0"/>
          <w:marRight w:val="0"/>
          <w:marTop w:val="0"/>
          <w:marBottom w:val="0"/>
          <w:divBdr>
            <w:top w:val="none" w:sz="0" w:space="0" w:color="auto"/>
            <w:left w:val="none" w:sz="0" w:space="0" w:color="auto"/>
            <w:bottom w:val="none" w:sz="0" w:space="0" w:color="auto"/>
            <w:right w:val="none" w:sz="0" w:space="0" w:color="auto"/>
          </w:divBdr>
        </w:div>
        <w:div w:id="1784037876">
          <w:marLeft w:val="0"/>
          <w:marRight w:val="0"/>
          <w:marTop w:val="0"/>
          <w:marBottom w:val="0"/>
          <w:divBdr>
            <w:top w:val="none" w:sz="0" w:space="0" w:color="auto"/>
            <w:left w:val="none" w:sz="0" w:space="0" w:color="auto"/>
            <w:bottom w:val="none" w:sz="0" w:space="0" w:color="auto"/>
            <w:right w:val="none" w:sz="0" w:space="0" w:color="auto"/>
          </w:divBdr>
        </w:div>
        <w:div w:id="1079250360">
          <w:marLeft w:val="0"/>
          <w:marRight w:val="0"/>
          <w:marTop w:val="0"/>
          <w:marBottom w:val="0"/>
          <w:divBdr>
            <w:top w:val="none" w:sz="0" w:space="0" w:color="auto"/>
            <w:left w:val="none" w:sz="0" w:space="0" w:color="auto"/>
            <w:bottom w:val="none" w:sz="0" w:space="0" w:color="auto"/>
            <w:right w:val="none" w:sz="0" w:space="0" w:color="auto"/>
          </w:divBdr>
        </w:div>
        <w:div w:id="1293291771">
          <w:marLeft w:val="0"/>
          <w:marRight w:val="0"/>
          <w:marTop w:val="0"/>
          <w:marBottom w:val="0"/>
          <w:divBdr>
            <w:top w:val="none" w:sz="0" w:space="0" w:color="auto"/>
            <w:left w:val="none" w:sz="0" w:space="0" w:color="auto"/>
            <w:bottom w:val="none" w:sz="0" w:space="0" w:color="auto"/>
            <w:right w:val="none" w:sz="0" w:space="0" w:color="auto"/>
          </w:divBdr>
        </w:div>
        <w:div w:id="1923374656">
          <w:marLeft w:val="0"/>
          <w:marRight w:val="0"/>
          <w:marTop w:val="0"/>
          <w:marBottom w:val="0"/>
          <w:divBdr>
            <w:top w:val="none" w:sz="0" w:space="0" w:color="auto"/>
            <w:left w:val="none" w:sz="0" w:space="0" w:color="auto"/>
            <w:bottom w:val="none" w:sz="0" w:space="0" w:color="auto"/>
            <w:right w:val="none" w:sz="0" w:space="0" w:color="auto"/>
          </w:divBdr>
        </w:div>
        <w:div w:id="1421953242">
          <w:marLeft w:val="0"/>
          <w:marRight w:val="0"/>
          <w:marTop w:val="0"/>
          <w:marBottom w:val="0"/>
          <w:divBdr>
            <w:top w:val="none" w:sz="0" w:space="0" w:color="auto"/>
            <w:left w:val="none" w:sz="0" w:space="0" w:color="auto"/>
            <w:bottom w:val="none" w:sz="0" w:space="0" w:color="auto"/>
            <w:right w:val="none" w:sz="0" w:space="0" w:color="auto"/>
          </w:divBdr>
        </w:div>
        <w:div w:id="1715232181">
          <w:marLeft w:val="0"/>
          <w:marRight w:val="0"/>
          <w:marTop w:val="0"/>
          <w:marBottom w:val="0"/>
          <w:divBdr>
            <w:top w:val="none" w:sz="0" w:space="0" w:color="auto"/>
            <w:left w:val="none" w:sz="0" w:space="0" w:color="auto"/>
            <w:bottom w:val="none" w:sz="0" w:space="0" w:color="auto"/>
            <w:right w:val="none" w:sz="0" w:space="0" w:color="auto"/>
          </w:divBdr>
        </w:div>
        <w:div w:id="489251973">
          <w:marLeft w:val="0"/>
          <w:marRight w:val="0"/>
          <w:marTop w:val="0"/>
          <w:marBottom w:val="0"/>
          <w:divBdr>
            <w:top w:val="none" w:sz="0" w:space="0" w:color="auto"/>
            <w:left w:val="none" w:sz="0" w:space="0" w:color="auto"/>
            <w:bottom w:val="none" w:sz="0" w:space="0" w:color="auto"/>
            <w:right w:val="none" w:sz="0" w:space="0" w:color="auto"/>
          </w:divBdr>
        </w:div>
      </w:divsChild>
    </w:div>
    <w:div w:id="1999141265">
      <w:bodyDiv w:val="1"/>
      <w:marLeft w:val="0"/>
      <w:marRight w:val="0"/>
      <w:marTop w:val="0"/>
      <w:marBottom w:val="0"/>
      <w:divBdr>
        <w:top w:val="none" w:sz="0" w:space="0" w:color="auto"/>
        <w:left w:val="none" w:sz="0" w:space="0" w:color="auto"/>
        <w:bottom w:val="none" w:sz="0" w:space="0" w:color="auto"/>
        <w:right w:val="none" w:sz="0" w:space="0" w:color="auto"/>
      </w:divBdr>
    </w:div>
    <w:div w:id="208941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theme/theme1.xml><?xml version="1.0" encoding="utf-8"?>
<a:theme xmlns:a="http://schemas.openxmlformats.org/drawingml/2006/main" name="Office Theme">
  <a:themeElements>
    <a:clrScheme name="Business report professional design">
      <a:dk1>
        <a:srgbClr val="000000"/>
      </a:dk1>
      <a:lt1>
        <a:srgbClr val="FFFFFF"/>
      </a:lt1>
      <a:dk2>
        <a:srgbClr val="0E2841"/>
      </a:dk2>
      <a:lt2>
        <a:srgbClr val="E8E8E8"/>
      </a:lt2>
      <a:accent1>
        <a:srgbClr val="05CF92"/>
      </a:accent1>
      <a:accent2>
        <a:srgbClr val="0054B9"/>
      </a:accent2>
      <a:accent3>
        <a:srgbClr val="FDE700"/>
      </a:accent3>
      <a:accent4>
        <a:srgbClr val="F160B7"/>
      </a:accent4>
      <a:accent5>
        <a:srgbClr val="714EEB"/>
      </a:accent5>
      <a:accent6>
        <a:srgbClr val="FF3A2E"/>
      </a:accent6>
      <a:hlink>
        <a:srgbClr val="467886"/>
      </a:hlink>
      <a:folHlink>
        <a:srgbClr val="96607D"/>
      </a:folHlink>
    </a:clrScheme>
    <a:fontScheme name="Custom 21">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A94286-1488-4B05-BE05-620B873327F0}">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A05782-1956-4ABD-9469-5855286A5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1C190-FBA0-46F1-BAA2-713A0E8A5EED}">
  <ds:schemaRefs>
    <ds:schemaRef ds:uri="http://schemas.openxmlformats.org/officeDocument/2006/bibliography"/>
  </ds:schemaRefs>
</ds:datastoreItem>
</file>

<file path=customXml/itemProps4.xml><?xml version="1.0" encoding="utf-8"?>
<ds:datastoreItem xmlns:ds="http://schemas.openxmlformats.org/officeDocument/2006/customXml" ds:itemID="{5FCA0720-E518-4C54-8EC1-2FF547E897F0}">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report (professional design)</Template>
  <TotalTime>1</TotalTime>
  <Pages>13</Pages>
  <Words>1971</Words>
  <Characters>11236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Mmachi Goodness</dc:creator>
  <cp:keywords/>
  <dc:description/>
  <cp:lastModifiedBy>MMACHUKWUMELUM ❤️❤️</cp:lastModifiedBy>
  <cp:revision>2</cp:revision>
  <cp:lastPrinted>2025-05-01T20:47:00Z</cp:lastPrinted>
  <dcterms:created xsi:type="dcterms:W3CDTF">2025-08-04T14:38:00Z</dcterms:created>
  <dcterms:modified xsi:type="dcterms:W3CDTF">2025-08-04T14:38:00Z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