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全球营销布局与销售战略</w:t>
      </w:r>
    </w:p>
    <w:p>
      <w:pPr>
        <w:pStyle w:val="Subtitle"/>
      </w:pPr>
      <w:r>
        <w:t>杭州易加仿生科技有限公司</w:t>
      </w:r>
    </w:p>
    <w:p>
      <w:pPr>
        <w:pStyle w:val="Subtitle"/>
      </w:pPr>
      <w:r>
        <w:t>首发：仿生鸟桌面喜鹊</w:t>
        <w:br/>
        <w:t>产品愿景：从桌面款，到行走款，再到飞行款</w:t>
      </w:r>
    </w:p>
    <w:p>
      <w:r>
        <w:t>专注做好一只鸟，让仿生科技走进日常。</w:t>
      </w:r>
    </w:p>
    <w:p>
      <w:pPr>
        <w:pStyle w:val="Heading2"/>
      </w:pPr>
      <w:r>
        <w:t>本方案的核心建议</w:t>
      </w:r>
    </w:p>
    <w:p>
      <w:r>
        <w:t>以桌面喜鹊建立“有生命感的仿生鸟”品牌认知，以众筹完成海外首发与需求验证，以独立站承接长期销售，以精选零售与机构采购形成第二增长曲线。产品技术路线持续升级，商业化则按体验成熟度与单位经济性分阶段推进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战略主线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建议布局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品牌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仿生鸟专家；以自然之美、生命感与工程可信度形成差异化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产品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喜鹊做深做透；猫头鹰等鸟种复用平台；桌面、行走、飞行分别验证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B2C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欧美众筹 → 首批交付 → 日韩／台湾地区分批众筹 → 独立站持续销售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B2B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设计与科技零售、文博文旅、企业礼赠优先；渠道分销和教育机构择机进入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增长纪律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先证明产品与交付，再扩大国家、渠道、鸟种与技术复杂度</w:t>
            </w:r>
          </w:p>
        </w:tc>
      </w:tr>
    </w:tbl>
    <w:p>
      <w:pPr>
        <w:pStyle w:val="Heading2"/>
      </w:pPr>
      <w:r>
        <w:t>适用边界</w:t>
      </w:r>
    </w:p>
    <w:p>
      <w:r>
        <w:t>本文件为营销与销售战略建议，不包含投放、社媒、客服、店铺及众筹执行等日常运营细节。依据用户提供的产品与公司信息编制，未取得成本、定价、量产、功能、认证及销量资料，也未进行外部市场调研。所有价格、预算、比例和门槛均为规划假设，不能视为已验证的商业预测或平台规则。</w:t>
      </w:r>
    </w:p>
    <w:p>
      <w:r>
        <w:t>版本：V1.0  |  编制日期：2026年10月17日  |  用途：管理层讨论、商业布局与资源决策</w:t>
      </w:r>
    </w:p>
    <w:p>
      <w:r>
        <w:br w:type="page"/>
      </w:r>
    </w:p>
    <w:p>
      <w:pPr>
        <w:pStyle w:val="Heading1"/>
      </w:pPr>
      <w:r>
        <w:t>01  战略结论与布局总览</w:t>
      </w:r>
    </w:p>
    <w:p>
      <w:pPr>
        <w:pStyle w:val="Heading2"/>
      </w:pPr>
      <w:r>
        <w:t>从“卖一件机器玩具”升级为“建立仿生鸟品牌”</w:t>
      </w:r>
    </w:p>
    <w:p>
      <w:r>
        <w:t>建议把公司定位为专注鸟类形态与行为的仿生科技品牌。首款产品承担三个任务：让消费者立即理解价值、证明量产交付能力、建立后续鸟种与形态的品牌资产。首发阶段不同时承担通用机器人、智能家居平台或儿童教育生态等过多叙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层级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核心选择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商业意义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品牌资产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鸟类专长＋可识别的动态体验＋原创设计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为后续猫头鹰等产品积累信任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首发单品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桌面喜鹊作为英雄产品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集中研发、内容、渠道与交付资源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产品扩张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先同平台鸟种，再更复杂运动形态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避免每一款都重新承担完整研发风险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全球路径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优先一个主市场，再复制到下一地区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降低本地化、认证、物流与售后叠加压力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销售组合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品牌直营为核心、精选渠道为放大器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兼顾消费者关系与线下体验触达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收入结构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整机为主，配件／限定款为辅，机构订单补充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形成复购理由，避免依赖单次众筹</w:t>
            </w:r>
          </w:p>
        </w:tc>
      </w:tr>
    </w:tbl>
    <w:p>
      <w:pPr>
        <w:pStyle w:val="Heading2"/>
      </w:pPr>
      <w:r>
        <w:t>对原构思的四项优化</w:t>
      </w:r>
    </w:p>
    <w:p>
      <w:r>
        <w:t>第一，独立站应在首轮众筹前建立品牌展示与用户承接能力，交易功能按交付阶段开放，而不是等全球众筹全部结束后再建设。第二，日韩和台湾地区不必同时启动，应按本地伙伴、认证、售后和需求证据排序。第三，B2B应在众筹阶段启动样机验证和采购意向，正式大规模供货服从零售交付能力。第四，飞行款是新的风险与使用场景体系，不应承诺为桌面款的固定期限升级。</w:t>
      </w:r>
    </w:p>
    <w:p>
      <w:pPr>
        <w:pStyle w:val="Heading2"/>
      </w:pPr>
      <w:r>
        <w:t>销售系统的协同关系</w:t>
      </w:r>
    </w:p>
    <w:p>
      <w:r>
        <w:t>众筹负责新品首发与早期需求验证；独立站负责品牌关系、正式售价和长期成交；线下体验负责降低消费者理解成本；企业与机构订单负责场景扩张。四者共享同一产品承诺、质量标准和价格框架，避免各渠道讲成不同产品。</w:t>
      </w:r>
    </w:p>
    <w:p>
      <w:r>
        <w:br w:type="page"/>
      </w:r>
    </w:p>
    <w:p>
      <w:pPr>
        <w:pStyle w:val="Heading1"/>
      </w:pPr>
      <w:r>
        <w:t>02  市场机会、竞争与切入逻辑</w:t>
      </w:r>
    </w:p>
    <w:p>
      <w:pPr>
        <w:pStyle w:val="Heading2"/>
      </w:pPr>
      <w:r>
        <w:t>优先争取的消费动机</w:t>
      </w:r>
    </w:p>
    <w:p>
      <w:r>
        <w:t>桌面喜鹊建议优先定位于成年人的桌面陪伴与设计消费：购买原因是喜欢、惊喜、审美、科技趣味或送礼，而不是替代真实宠物或完成生产力任务。只有具备相应功能与证据时，再强化互动陪伴、编程或科普属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竞争参照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消费者为何购买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易加需要证明的价值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桌面机器人／电子宠物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互动反馈、陪伴与科技体验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鸟类姿态和行为的独特性，长期耐看性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设计摆件／艺术玩具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造型、收藏与空间审美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静态好看之外，有可反复欣赏的动态体验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仿生机械／科普产品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机械原理、自然启发与新奇感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工程可信、做工稳定，展示效果清楚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礼品与文创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情绪表达、文化寓意与纪念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喜鹊寓意、礼赠完整度及跨文化理解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真实宠物与其他陪伴消费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生命联系、日常情感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提供轻负担的自然趣味；不承诺替代真实生命</w:t>
            </w:r>
          </w:p>
        </w:tc>
      </w:tr>
    </w:tbl>
    <w:p>
      <w:pPr>
        <w:pStyle w:val="Heading2"/>
      </w:pPr>
      <w:r>
        <w:t>竞争策略</w:t>
      </w:r>
    </w:p>
    <w:p>
      <w:r>
        <w:t>避免以最低价或功能数量竞争。核心差异应落在鸟的动作语言、外观辨识度、结构完成度和使用体验。品牌必须用实物演示证明差异，不能只依赖“仿生”“AI”或“治愈”等标签。若无经过验证的智能能力，不以AI作为首发主诉求。</w:t>
      </w:r>
    </w:p>
    <w:p>
      <w:pPr>
        <w:pStyle w:val="Heading2"/>
      </w:pPr>
      <w:r>
        <w:t>立项与商业放大的证据</w:t>
      </w:r>
    </w:p>
    <w:p>
      <w:r>
        <w:t>市场容量在缺少研究时不做确定性估算。先回答：目标消费者是否愿意为真实体验付款，收到产品后是否认为物有所值，渠道是否愿意重复采购。众筹支持额只能证明特定人群在特定条件下的购买意愿，不能直接等同常态零售需求。</w:t>
      </w:r>
    </w:p>
    <w:p>
      <w:r>
        <w:t>市场测算建议采用自下而上的三种情景：独立站净订单数×净售价＋零售渠道净采购量×供货价＋机构有效项目数×平均合同额。分别扣除退款、取消和渠道退货；基准情景只纳入已验证渠道，扩张情景才计入新国家与新品。</w:t>
      </w:r>
    </w:p>
    <w:p>
      <w:r>
        <w:br w:type="page"/>
      </w:r>
    </w:p>
    <w:p>
      <w:pPr>
        <w:pStyle w:val="Heading1"/>
      </w:pPr>
      <w:r>
        <w:t>03  品牌定位与全球表达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定位要素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建议内容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品牌角色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专注做好仿生鸟的科技与设计品牌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目标心智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想到有生命感的机械鸟，就想到易加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核心价值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把自然的灵动带入桌面与日常空间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信任基础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真实样机、可解释技术、可靠制造与持续服务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品牌个性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灵动、克制、温暖、精密；避免浮夸拟人化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建议主张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“专注做好一只鸟。”／“让自然的灵动，停在你身边。”</w:t>
            </w:r>
          </w:p>
        </w:tc>
      </w:tr>
    </w:tbl>
    <w:p>
      <w:pPr>
        <w:pStyle w:val="Heading2"/>
      </w:pPr>
      <w:r>
        <w:t>统一品牌，分市场讲述</w:t>
      </w:r>
    </w:p>
    <w:p>
      <w:r>
        <w:t>欧美市场以自然启发、设计和工程体验为主，避免假设“喜鹊”在不同文化中具有同一吉祥含义。中国及部分亚洲市场可突出报喜、相遇与礼赠寓意；日韩更强调空间适配、细节完成度和生活方式。具体表达需经过本地文化审阅。</w:t>
      </w:r>
    </w:p>
    <w:p>
      <w:r>
        <w:t>公司品牌与产品系列采用清晰架构：公司／母品牌 → 仿生鸟产品家族 → 鸟种 → 形态版本。海外名称应完成商标与域名筛查后确定，现阶段不把未经检索的英文名作为正式品牌。</w:t>
      </w:r>
    </w:p>
    <w:p>
      <w:pPr>
        <w:pStyle w:val="Heading2"/>
      </w:pPr>
      <w:r>
        <w:t>品牌承诺的边界</w:t>
      </w:r>
    </w:p>
    <w:p>
      <w:r>
        <w:t>只承诺能够稳定交付的动作、交互、续航、材质和售后。营销演示区分量产能力、原型能力与未来概念。声音、感应、联网、应用程序、编程等功能均按最终配置宣传，不在本方案中假定已经具备。</w:t>
      </w:r>
    </w:p>
    <w:p>
      <w:pPr>
        <w:pStyle w:val="Heading2"/>
      </w:pPr>
      <w:r>
        <w:t>长期品牌资产</w:t>
      </w:r>
    </w:p>
    <w:p>
      <w:r>
        <w:t>沉淀鸟类动作与造型语言、产品命名、包装体系、可辨识的机械细节及原创内容。同步规划商标、外观设计和适用专利，明确供应商与合作方的知识产权归属。未来联名应增强自然、设计或科技属性，避免为短期销量稀释核心定位。</w:t>
      </w:r>
    </w:p>
    <w:p>
      <w:r>
        <w:br w:type="page"/>
      </w:r>
    </w:p>
    <w:p>
      <w:pPr>
        <w:pStyle w:val="Heading1"/>
      </w:pPr>
      <w:r>
        <w:t>04  客群、场景与价值匹配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客群／优先级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购买任务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推荐销售路径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成交依据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科技与设计爱好者／首发核心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拥有有趣、精致且可展示的新产品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欧美众筹、独立站、科技设计零售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真实动态演示、工程完成度、价格合理性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桌面与生活方式消费者／核心扩展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改善空间氛围，获得轻互动乐趣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独立站、设计店、生活方式门店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外观、尺寸、噪声、使用便利及质感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礼赠消费者／核心扩展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送出有记忆点且有寓意的礼物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独立站礼赠方案、线下零售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礼盒完整度、交期、售后和送礼适配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鸟类与自然爱好者／垂直人群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欣赏鸟的形态与行为表达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自然主题渠道、文博零售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鸟种辨识、动作真实性与审美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收藏与艺术玩具人群／选择性进入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收藏系列、设计师合作或限定版本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精选联名、艺术设计渠道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独特设计和真实稀缺性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教育与亲子人群／条件性进入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观察仿生原理与自然知识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科普机构、教育采购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适龄安全与教学适配；不预设儿童玩具资格</w:t>
            </w:r>
          </w:p>
        </w:tc>
      </w:tr>
    </w:tbl>
    <w:p>
      <w:pPr>
        <w:pStyle w:val="Heading2"/>
      </w:pPr>
      <w:r>
        <w:t>优先级选择</w:t>
      </w:r>
    </w:p>
    <w:p>
      <w:r>
        <w:t>首发聚焦“科技设计爱好者＋桌面生活方式”两类，礼赠作为次主线。避免同时以儿童玩具、专业机器人、艺术品、智能宠物和教育套件五种身份销售。产品的真实能力决定其主身份，其余作为有条件的场景延伸。</w:t>
      </w:r>
    </w:p>
    <w:p>
      <w:pPr>
        <w:pStyle w:val="Heading2"/>
      </w:pPr>
      <w:r>
        <w:t>消费旅程中的信任问题</w:t>
      </w:r>
    </w:p>
    <w:p>
      <w:r>
        <w:t>消费者先被动作和外观吸引，再确认它是否适合自己的桌面，最后判断价格、交付与服务是否可信。销售材料应围绕这三个决策阶段构成统一价值证据。若产品缺少持续互动，也可以凭设计与机械美感成立，但不能依赖“像宠物一样长期陪伴”的过高预期。</w:t>
      </w:r>
    </w:p>
    <w:p>
      <w:r>
        <w:br w:type="page"/>
      </w:r>
    </w:p>
    <w:p>
      <w:pPr>
        <w:pStyle w:val="Heading1"/>
      </w:pPr>
      <w:r>
        <w:t>05  产品组合与技术商业化路线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阶段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产品角色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上市前证据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主要商业约束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桌面喜鹊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首个英雄单品与平台验证产品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量产动作稳定；桌面场景与安全成立；成本可控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噪声、可靠性、供电、售后与消费者预期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桌面猫头鹰等鸟种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拓宽审美与收藏选择，建立系列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确认独立需求；平台复用有效；不只是换外壳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SKU复杂度、库存、模具与研发资源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行走款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扩展行为表现与互动空间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运动稳定；跌落／夹伤风险可控；真实使用价值成立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机械寿命、地面适配、能耗和维修成本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飞行款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建立高技术品牌上限与新市场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明确室内／室外定位；飞行与失控风险验证；法规适配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电池、场地、责任、运输及可能适用的航空规定</w:t>
            </w:r>
          </w:p>
        </w:tc>
      </w:tr>
    </w:tbl>
    <w:p>
      <w:pPr>
        <w:pStyle w:val="Heading2"/>
      </w:pPr>
      <w:r>
        <w:t>建议采用“共平台、分产品、独立闸门”</w:t>
      </w:r>
    </w:p>
    <w:p>
      <w:r>
        <w:t>共用可复用的设计语言、供应链与核心模块，但不要让首款产品承担未来所有形态的硬件成本。桌面、行走、飞行不必是同一用户必须连续升级的等级体系，也不应默认能通过软件解锁。需要全新硬件时，按独立新品定价并明确旧用户权益。</w:t>
      </w:r>
    </w:p>
    <w:p>
      <w:pPr>
        <w:pStyle w:val="Heading2"/>
      </w:pPr>
      <w:r>
        <w:t>价格梯度与SKU纪律</w:t>
      </w:r>
    </w:p>
    <w:p>
      <w:r>
        <w:t>首发采用一个核心配置，必要时增加一个有明确差异的礼盒或收藏版本。配件限于真实需要且兼容性清楚的底座、展示场景、收纳或备件。鸟种扩张优先依据付费需求、设计差异与平台复用率，而不是仅依据社交讨论热度。</w:t>
      </w:r>
    </w:p>
    <w:p>
      <w:r>
        <w:t>不建议初期承诺订阅制。只有未来持续提供明确、可感知且有成本的新增服务时，再评估付费内容或会员；基础动作与已售硬件能力不应被不透明的后续收费破坏。</w:t>
      </w:r>
    </w:p>
    <w:p>
      <w:pPr>
        <w:pStyle w:val="Heading2"/>
      </w:pPr>
      <w:r>
        <w:t>升级与老用户关系</w:t>
      </w:r>
    </w:p>
    <w:p>
      <w:r>
        <w:t>采用清楚的新品优先购、配件兼容说明和有限度老用户权益。避免无限升级承诺、无期限免费维护，以及过早销售缺少工程验证的未来产品。</w:t>
      </w:r>
    </w:p>
    <w:p>
      <w:r>
        <w:br w:type="page"/>
      </w:r>
    </w:p>
    <w:p>
      <w:pPr>
        <w:pStyle w:val="Heading1"/>
      </w:pPr>
      <w:r>
        <w:t>06  全球市场进入与渠道布局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市场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战略角色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优先渠道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进入前提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美国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建议作为欧美首发主市场候选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一个主众筹平台＋品牌独立站；精选设计科技零售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价格接受度、适用合规、交付与售后能力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欧洲／英国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选择性扩展，避免把欧洲当单一市场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众筹可交付国家＋本地零售伙伴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逐国确认税务、产品责任、退货与环保义务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日本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精细化与生活方式市场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本地众筹＋精选渠道／代理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本地化表达、售后伙伴、适用认证与渠道经济性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韩国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科技与设计消费扩展市场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本地众筹＋渠道合作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本地销售主体／伙伴条件、适用合规与服务能力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台湾地区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中文市场验证与礼赠拓展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本地众筹＋设计零售／经销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交易、进口、税务、检验与服务要求核验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中国大陆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供应链近场的品牌体验和B2B市场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企业礼赠、文博文旅、精选零售；电商择机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定价协调、适用合规和渠道投入回报</w:t>
            </w:r>
          </w:p>
        </w:tc>
      </w:tr>
    </w:tbl>
    <w:p>
      <w:pPr>
        <w:pStyle w:val="Heading2"/>
      </w:pPr>
      <w:r>
        <w:t>排序建议</w:t>
      </w:r>
    </w:p>
    <w:p>
      <w:r>
        <w:t>在欧美首轮中选择一个主市场和有限的可交付国家。日韩与台湾地区按“可用伙伴＋需求证据＋认证进度＋售后成本”排序，先做准备最成熟的一站，不机械追求同时上线。独立站可全球展示，但只在已具备销售与履约能力的地区开放交易。</w:t>
      </w:r>
    </w:p>
    <w:p>
      <w:pPr>
        <w:pStyle w:val="Heading2"/>
      </w:pPr>
      <w:r>
        <w:t>平台作为候选，而非已经确认的资源</w:t>
      </w:r>
    </w:p>
    <w:p>
      <w:r>
        <w:t>欧美可评估 Kickstarter、Indiegogo；日本可评估 Makuake、GREEN FUNDING；韩国可评估 Wadiz；台湾地区可评估嘖嘖、flyingV。平台准入、当地实体要求、费用、项目属性、独家与同期销售条款需在立项时核验，本方案不假定公司已获得资格或已达成合作。</w:t>
      </w:r>
    </w:p>
    <w:p>
      <w:pPr>
        <w:pStyle w:val="Heading2"/>
      </w:pPr>
      <w:r>
        <w:t>暂缓的渠道</w:t>
      </w:r>
    </w:p>
    <w:p>
      <w:r>
        <w:t>Amazon、区域综合电商和大规模商超属于后续扩张选项。应在产品标准化、退货数据、供货与价格体系稳定后进入。首发同时铺满平台会增加库存和渠道冲突，并削弱品牌的价格控制。</w:t>
      </w:r>
    </w:p>
    <w:p>
      <w:r>
        <w:br w:type="page"/>
      </w:r>
    </w:p>
    <w:p>
      <w:pPr>
        <w:pStyle w:val="Heading1"/>
      </w:pPr>
      <w:r>
        <w:t>07  B2C：从众筹首发到长期零售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阶段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渠道任务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主销售方案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品牌与产品验证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明确为什么值得购买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独立站承接品牌；真实样机与清晰产品承诺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目标客群愿意按可持续价格购买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欧美众筹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新品首发、验证需求、形成首批用户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有限早鸟＋标准众筹档＋礼赠组合；以可交付配置为准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确认订单经济性、量产与履约资金成立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首批量产交付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兑现承诺并建立零售信任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按实际履约推进；独立站明确预售或现货状态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交付稳定，缺陷与退货原因已被理解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亚洲分区众筹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地区市场首发与本地合作验证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本地化商品方案；差异化包装／配色按能力选择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本地合规、进口和售后闭环成立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独立站常态销售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沉淀长期品牌与客户关系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核心整机＋礼盒／配件＋季节性礼赠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获客、售后和现金回收具备持续性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精选渠道扩张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增加触达与实体体验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限量试销后补货；主流电商后置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消费者拉动与渠道复购得到验证</w:t>
            </w:r>
          </w:p>
        </w:tc>
      </w:tr>
    </w:tbl>
    <w:p>
      <w:pPr>
        <w:pStyle w:val="Heading2"/>
      </w:pPr>
      <w:r>
        <w:t>众筹的商业约束</w:t>
      </w:r>
    </w:p>
    <w:p>
      <w:r>
        <w:t>众筹不等于利润，也不能代替量产验证。目标金额应反映最低可交付规模及资金缺口，提前覆盖平台支付费用、税费、物流、售后、退款与风险准备。不通过无限制增加新功能或赠品拉高目标，避免每次达成目标都放大量产风险。</w:t>
      </w:r>
    </w:p>
    <w:p>
      <w:pPr>
        <w:pStyle w:val="Heading2"/>
      </w:pPr>
      <w:r>
        <w:t>多地区众筹的协调</w:t>
      </w:r>
    </w:p>
    <w:p>
      <w:r>
        <w:t>地区首发要有真实的本地化价值，而不是把同一“全球首发”反复使用。所有地区遵循一致的基础定价逻辑，透明解释税费、运费、服务与版本差异；在核验平台规则后安排时间，避免独家条款冲突。前一站未能交付时，不以新一站回款填补无法解释的旧订单缺口。</w:t>
      </w:r>
    </w:p>
    <w:p>
      <w:pPr>
        <w:pStyle w:val="Heading2"/>
      </w:pPr>
      <w:r>
        <w:t>独立站的长期角色</w:t>
      </w:r>
    </w:p>
    <w:p>
      <w:r>
        <w:t>作为官方产品信息、正式售价、销售状态和服务承诺的中心。众筹结束后的预售需明确预计交期；正常零售应逐步减少依赖深折扣，靠产品证据、礼赠场景和系列新品实现增长。</w:t>
      </w:r>
    </w:p>
    <w:p>
      <w:r>
        <w:br w:type="page"/>
      </w:r>
    </w:p>
    <w:p>
      <w:pPr>
        <w:pStyle w:val="Heading1"/>
      </w:pPr>
      <w:r>
        <w:t>08  定价、利润与渠道经济性</w:t>
      </w:r>
    </w:p>
    <w:p>
      <w:pPr>
        <w:pStyle w:val="Heading2"/>
      </w:pPr>
      <w:r>
        <w:t>先建立价格底线，再决定营销空间</w:t>
      </w:r>
    </w:p>
    <w:p>
      <w:r>
        <w:t>定价应同时覆盖消费者价值、竞品参照、可变成本和渠道利润。全球不能简单使用同一个数字：消费者含税到手价与公司不含税净收入应分开；汇率、关税、运输与当地服务会改变净收益。各市场设置可解释的价格带，而不是任意套利空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销售形式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规划起点；非最终报价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适用原则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正式零售价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设当地常态零售价为P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先验证价值与净贡献，再形成正式价目体系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限量早鸟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示意为0.75P—0.85P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只有覆盖成本、交付与风险准备才使用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标准众筹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示意为0.85P—0.95P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体现早期支持与等待成本，不长期重复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零售批发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可先测算不含税建议零售价的50%—65%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实际取决于采购、退货、展示、售后和地区责任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企业礼赠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标准整机价阶梯＋定制／包装／服务单列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按数量和交付条件报价，不默认与经销底价相同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总代／分销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从渠道剩余毛利反推可行供货价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若不足以容纳双方毛利，就缩短层级或放弃</w:t>
            </w:r>
          </w:p>
        </w:tc>
      </w:tr>
    </w:tbl>
    <w:p>
      <w:pPr>
        <w:pStyle w:val="Heading2"/>
      </w:pPr>
      <w:r>
        <w:t>单笔订单净贡献：必须按渠道计算</w:t>
      </w:r>
    </w:p>
    <w:p>
      <w:r>
        <w:t>净贡献＝不含税实收收入－整机与包装－平台及支付费用－公司承担的运输与税费－渠道佣金－退款／退货损失准备－售后质保准备－直接获客成本。该口径尚未扣除固定研发、人员及管理支出，不能当作净利润。</w:t>
      </w:r>
    </w:p>
    <w:p>
      <w:r>
        <w:t>示例仅演示算法：假设不含税实收为1,000元，产品包装350元、交易费用80元、履约100元、退换及售后准备70元、直接获客150元，则净贡献为250元，即25%。如果获客升至250元，净贡献降为150元。正式决策应以真实成本和渠道数据替换全部假设。</w:t>
      </w:r>
    </w:p>
    <w:p>
      <w:pPr>
        <w:pStyle w:val="Heading2"/>
      </w:pPr>
      <w:r>
        <w:t>价格治理与现金风险</w:t>
      </w:r>
    </w:p>
    <w:p>
      <w:r>
        <w:t>设立内部供货底线、折扣权限和项目利润审批标准；对零售伙伴使用建议零售价与合法的促销协商，不作违反当地竞争法的强制转售限价。众筹回款需按实际到账及可退金额测算；采购订金、尾款和库存支出必须进入现金流，而不是只看账面毛利。</w:t>
      </w:r>
    </w:p>
    <w:p>
      <w:r>
        <w:br w:type="page"/>
      </w:r>
    </w:p>
    <w:p>
      <w:pPr>
        <w:pStyle w:val="Heading1"/>
      </w:pPr>
      <w:r>
        <w:t>09  B2B：优先客户与完整销售组合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客户类型／优先级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采购目的与决策人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销售组合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成交与复购逻辑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设计／科技零售／A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提升门店差异化；采购与品类负责人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标准整机＋演示样机＋展示支持＋备件／售后安排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先小批买断试销，依据实际售出与补货扩张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文博／文旅／自然主题场所／A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主题零售与纪念消费；商业负责人、采购、策展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标准款／主题包装；有授权再做联名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由场景匹配带动零售；验证后复制到同类场所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企业礼赠／A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客户关系、活动与员工礼赠；市场／行政／采购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标准款＋礼盒／贺卡／合规标识定制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预算、交期与交付可靠；节庆及客户项目复购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区域经销／分销／B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本地渠道利润；负责人及品类团队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供货权＋样机＋培训资料＋区域服务分工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可验证的渠道覆盖和销售承诺，非空泛代理意向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科普／教育机构／B，条件性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展示仿生知识；课程／展教与采购负责人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安全适配产品＋原理资料；必要时另行开发套件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教学价值和长期维护成立才扩张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酒店／办公／展陈项目／C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空间体验与品牌展示；设计／工程／采购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标准产品或独立评估的项目方案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少量示范，避免大量非标准研发侵蚀主线</w:t>
            </w:r>
          </w:p>
        </w:tc>
      </w:tr>
    </w:tbl>
    <w:p>
      <w:pPr>
        <w:pStyle w:val="Heading2"/>
      </w:pPr>
      <w:r>
        <w:t>三类供货模式</w:t>
      </w:r>
    </w:p>
    <w:p>
      <w:r>
        <w:t>标准批发：适合零售与渠道，围绕采购量、补货、库存和售后设定条件。企业项目：围绕用途、数量、定制范围和交期报价，开发费与整机价分列。区域合作：围绕市场开发与服务能力授予有限权限，先验证再考虑独家。首年优先前两类。</w:t>
      </w:r>
    </w:p>
    <w:p>
      <w:pPr>
        <w:pStyle w:val="Heading2"/>
      </w:pPr>
      <w:r>
        <w:t>不优先承接的订单</w:t>
      </w:r>
    </w:p>
    <w:p>
      <w:r>
        <w:t>低价大批量贴牌、无预付款的深度定制、免费开发换模糊采购承诺、跨国长期无条件独家及不可控退货责任。ODM／OEM如有独立利润和团队资源可单独评估，不应挤占首款自有品牌交付。</w:t>
      </w:r>
    </w:p>
    <w:p>
      <w:r>
        <w:br w:type="page"/>
      </w:r>
    </w:p>
    <w:p>
      <w:pPr>
        <w:pStyle w:val="Heading1"/>
      </w:pPr>
      <w:r>
        <w:t>10  B2B：成交路径、条款与渠道治理</w:t>
      </w:r>
    </w:p>
    <w:p>
      <w:pPr>
        <w:pStyle w:val="Heading2"/>
      </w:pPr>
      <w:r>
        <w:t>从线索到回款的完整商业路径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销售环节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必须确认的商业问题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阶段成果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客户筛选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是否匹配场景？谁决策？预算与采购窗口是什么？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明确客户价值、预计规模及决策链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体验与需求确认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实物是否满足需求？标准款能否解决？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样品评估与清楚的需求边界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方案与商务报价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产品、数量、交期、服务和定制责任是否明确？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有效期内的分项报价及可交付方案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试单／试点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实际售出／使用结果如何？谁承担试点成本？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付费试单；事先约定评估标准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合同与采购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付款、质量、合规、责任与知识产权如何分配？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合同／采购单与满足生效条件的订金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验收与扩单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验收是否通过、回款是否完成、是否值得复制？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完成回款，形成补货或分批采购依据</w:t>
            </w:r>
          </w:p>
        </w:tc>
      </w:tr>
    </w:tbl>
    <w:p>
      <w:pPr>
        <w:pStyle w:val="Heading2"/>
      </w:pPr>
      <w:r>
        <w:t>标准商务边界</w:t>
      </w:r>
    </w:p>
    <w:p>
      <w:r>
        <w:t>起订量由生产批量、包装和履约成本决定；标准款、定制款和区域供货分开报价。新客户优先采用订金＋发货前尾款；定制项目设置不可回收成本覆盖条款。账期应建立在信用与保险评估基础上，不为了签单无条件放款。供货合同明确贸易术语、所有权／风险转移、进口责任、验收、质保、退货和备件责任。</w:t>
      </w:r>
    </w:p>
    <w:p>
      <w:pPr>
        <w:pStyle w:val="Heading2"/>
      </w:pPr>
      <w:r>
        <w:t>代理与独家合作</w:t>
      </w:r>
    </w:p>
    <w:p>
      <w:r>
        <w:t>独家权限以地域、渠道、SKU与期限划界，建议先采用非独家试销，再依据实际回款采购、覆盖能力及服务表现设置阶段性独家。设置最低履约要求、报告义务、退出与库存处理机制；公司保留事先约定的直营、重点客户及新产品权益。独家不应成为一次性预付款换取长期锁定市场。</w:t>
      </w:r>
    </w:p>
    <w:p>
      <w:pPr>
        <w:pStyle w:val="Heading2"/>
      </w:pPr>
      <w:r>
        <w:t>总部与伙伴的分工</w:t>
      </w:r>
    </w:p>
    <w:p>
      <w:r>
        <w:t>总部负责产品、品牌、核心技术资料、质量和统一服务政策；伙伴承担合同约定的进口、本地合规协助、渠道覆盖及一线服务。法律上的制造商、进口商和销售者责任以当地规定为准，不能仅靠合同文字转移全部责任。</w:t>
      </w:r>
    </w:p>
    <w:p>
      <w:r>
        <w:t>通过客户与项目报备减少跨渠道争抢，以有效期限和可验证推进保护项目。联合推广、样机和展示资源与实际成交挂钩。寄售仅用于可控试点，明确库存所有权、盘点、损耗、结算及退出机制。</w:t>
      </w:r>
    </w:p>
    <w:p>
      <w:r>
        <w:br w:type="page"/>
      </w:r>
    </w:p>
    <w:p>
      <w:pPr>
        <w:pStyle w:val="Heading1"/>
      </w:pPr>
      <w:r>
        <w:t>11  品牌传播、合作与需求布局</w:t>
      </w:r>
    </w:p>
    <w:p>
      <w:pPr>
        <w:pStyle w:val="Heading2"/>
      </w:pPr>
      <w:r>
        <w:t>围绕一种产品价值建立多入口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传播与合作方向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战略任务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适用范围与边界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科技与设计媒体／评测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建立创新可信度与可理解性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以可验证样机为依据；区分赞助与独立评测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设计师／桌面生活方式创作者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让消费者理解摆放和使用场景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选择审美与客群匹配度，不只看粉丝量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鸟类／自然与科普社群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强化鸟种、行为及自然启发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避免把商业产品宣传成未经证实的保护成果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精选展会与买手渠道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发现零售商、礼赠与区域伙伴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以目标客户质量与项目价值衡量，避免追求参展数量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文博／艺术／品牌联名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拓展礼赠、收藏与场景价值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先标准款合作，再评估授权、分成与限定款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用户口碑与老客关系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降低购买疑虑并支持系列新品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以真实交付和体验为前提，不依赖虚假稀缺</w:t>
            </w:r>
          </w:p>
        </w:tc>
      </w:tr>
    </w:tbl>
    <w:p>
      <w:pPr>
        <w:pStyle w:val="Heading2"/>
      </w:pPr>
      <w:r>
        <w:t>统一的内容价值结构</w:t>
      </w:r>
    </w:p>
    <w:p>
      <w:r>
        <w:t>自然之美回答“为什么喜欢”；工程能力回答“为什么可信”；生活场景回答“为什么需要”；真实用户与服务承诺回答“为什么现在购买”。不同市场可调整表达权重，但核心产品事实、价格原则和服务边界保持一致。</w:t>
      </w:r>
    </w:p>
    <w:p>
      <w:pPr>
        <w:pStyle w:val="Heading2"/>
      </w:pPr>
      <w:r>
        <w:t>销售季节与产品节奏</w:t>
      </w:r>
    </w:p>
    <w:p>
      <w:r>
        <w:t>围绕当地礼赠季、毕业与纪念场景、自然主题活动及新品发布构建年度主题，不把全年销售都做成折扣活动。B2B礼赠窗口通常早于消费者购买窗口，具体采购周期应由客户验证。新品节奏服从量产与交付，不能只为追逐节庆提前承诺不成熟产品。</w:t>
      </w:r>
    </w:p>
    <w:p>
      <w:pPr>
        <w:pStyle w:val="Heading2"/>
      </w:pPr>
      <w:r>
        <w:t>建议暂缓的扩张</w:t>
      </w:r>
    </w:p>
    <w:p>
      <w:r>
        <w:t>首阶段不重投入自营实体店，不以大型IP授权作为增长前提，不同时铺设多层代理，不把飞行原型表演当作桌面产品的交付证据。优先投入可重复使用的品牌资产、真实产品证据和渠道关系。</w:t>
      </w:r>
    </w:p>
    <w:p>
      <w:r>
        <w:br w:type="page"/>
      </w:r>
    </w:p>
    <w:p>
      <w:pPr>
        <w:pStyle w:val="Heading1"/>
      </w:pPr>
      <w:r>
        <w:t>12  服务、合规与品牌信任底座</w:t>
      </w:r>
    </w:p>
    <w:p>
      <w:pPr>
        <w:pStyle w:val="Heading2"/>
      </w:pPr>
      <w:r>
        <w:t>跨境销售的进入条件</w:t>
      </w:r>
    </w:p>
    <w:p>
      <w:r>
        <w:t>合规应按实际结构、无线功能、电池、适龄人群和销售地区逐项判断。若含无线模块，应评估相应无线合规；若含电池，应核验适用运输测试与承运条件；儿童导向产品可能触发更严格的玩具安全要求。不能仅通过标注“14岁以上”规避真实适用义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领域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必须纳入商业布局的事项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美国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按产品属性核验适用的安全、无线、电池及消费品要求；明确进口和产品责任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欧盟／英国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按属性评估CE／UKCA等适用范围，以及产品安全、责任人、税务、环保与电池等义务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日本／韩国／台湾地区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核验当地产品检验、无线、电源、标签和进口销售要求；由专业方确认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中国大陆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根据产品类别及部件核验适用的强制认证、安全、标签与消费者权益要求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数字与隐私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如有App、账号、麦克风、摄像头或云服务，另行评估数据、隐私与持续服务责任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飞行款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除普通产品要求外，单独核验使用场景、航空／无线规则和第三方责任</w:t>
            </w:r>
          </w:p>
        </w:tc>
      </w:tr>
    </w:tbl>
    <w:p>
      <w:pPr>
        <w:pStyle w:val="Heading2"/>
      </w:pPr>
      <w:r>
        <w:t>服务是一项渠道能力</w:t>
      </w:r>
    </w:p>
    <w:p>
      <w:r>
        <w:t>正式销售前确定各市场质保、法定退货、备件、维修／换新和本地服务责任。小体积高集成产品可比较跨境维修与本地换新的全成本；经销商不能在未达成安排时自行承诺公司提供的服务。维修与售后准备进入产品及渠道利润测算。</w:t>
      </w:r>
    </w:p>
    <w:p>
      <w:pPr>
        <w:pStyle w:val="Heading2"/>
      </w:pPr>
      <w:r>
        <w:t>交付可信度优先于过度宣传</w:t>
      </w:r>
    </w:p>
    <w:p>
      <w:r>
        <w:t>工程风险、延迟和配置变化应有清楚的消费者沟通及补救机制。众筹项目、预售和现货的销售身份清晰区分；售后承诺在众筹、独立站与线下保持一致。若出现关键安全缺陷，应具备停止发货、追溯、通知及召回安排。</w:t>
      </w:r>
    </w:p>
    <w:p>
      <w:r>
        <w:t>认证与法规清单是尽调方向，不构成法律结论；正式上市前以具资质的实验室、当地合规与法律意见为准。</w:t>
      </w:r>
    </w:p>
    <w:p>
      <w:r>
        <w:br w:type="page"/>
      </w:r>
    </w:p>
    <w:p>
      <w:pPr>
        <w:pStyle w:val="Heading1"/>
      </w:pPr>
      <w:r>
        <w:t>13  阶段路线图与扩张闸门</w:t>
      </w:r>
    </w:p>
    <w:p>
      <w:r>
        <w:t>以下以“首个主要众筹项目上线”为T0，时间为建议窗口，不是上市承诺。量产和合规条件不满足时顺延，不通过压缩验证换取日历进度。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阶段／参考窗口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重点布局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继续投入的闸门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T0前约3—6个月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确认定位、配置、价格、量产路径；独立站品牌承接；B2B意向与样机验证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真实样机可演示；目标售价与成本成立；供货和资金计划可解释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T0至项目结束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一个主市场众筹；接受受控地区订单；推进精选B2B付费试单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订单净贡献符合底线；履约能力覆盖订单；不依靠未验证扩展功能成交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项目结束至稳定交付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量产交付优先；独立站清楚区分预售与现货；有限渠道供货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质量与服务压力可承受；交付、退款和现金风险受控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约第6—12个月，条件满足后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成熟亚洲地区首发；设计零售和企业礼赠扩张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有本地服务和合规条件；前期订单得到可靠交付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约第12—18个月，条件满足后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第二鸟种或平台延伸；增加有效区域伙伴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现款常态销售成立；复购／跨鸟种需求与平台复用成立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约第18—24个月及以后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行走款商业验证；飞行款保持独立研发与场景验证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安全、可靠性、成本、适用法规与独立购买价值全部过关</w:t>
            </w:r>
          </w:p>
        </w:tc>
      </w:tr>
    </w:tbl>
    <w:p>
      <w:pPr>
        <w:pStyle w:val="Heading2"/>
      </w:pPr>
      <w:r>
        <w:t>建议管理门槛：用数据校准，不机械套用</w:t>
      </w:r>
    </w:p>
    <w:p>
      <w:r>
        <w:t>可先把按承诺交付率≥95%、首月功能性故障率≤3%、订单净贡献率≥20%作为内部讨论起点；必须统一统计口径、观察周期和样本规模后再确定。安全问题不以百分比容忍度处理。数值不是行业标准，也不能替代适用法定义务。</w:t>
      </w:r>
    </w:p>
    <w:p>
      <w:pPr>
        <w:pStyle w:val="Heading2"/>
      </w:pPr>
      <w:r>
        <w:t>扩张前必须回答的三件事</w:t>
      </w:r>
    </w:p>
    <w:p>
      <w:r>
        <w:t>第一，现有产品能否在正常售价下持续销售，而非仅靠首发折扣；第二，增加国家或渠道后，净贡献与现金是否仍可接受；第三，新增鸟种或运动形态是否产生明确价值，且没有破坏现款质量与交付。任一答案不清楚时，优先改善现有业务。</w:t>
      </w:r>
    </w:p>
    <w:p>
      <w:r>
        <w:br w:type="page"/>
      </w:r>
    </w:p>
    <w:p>
      <w:pPr>
        <w:pStyle w:val="Heading1"/>
      </w:pPr>
      <w:r>
        <w:t>14  资源投入、组织与经营仪表盘</w:t>
      </w:r>
    </w:p>
    <w:p>
      <w:pPr>
        <w:pStyle w:val="Heading2"/>
      </w:pPr>
      <w:r>
        <w:t>营销资源按阶段投放</w:t>
      </w:r>
    </w:p>
    <w:p>
      <w:r>
        <w:t>先锁定研发量产、履约、认证及售后所需资金，再确定可承受的营销预算。不要把众筹目标额直接当作可用营销预算。以滚动现金流管理生产付款、平台到账、税费与退款准备；规模扩张以资金可承受的最差情景为边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营销专项预算用途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建议初始比例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战略目的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品牌基础与可复用产品资产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20%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建立统一定位、产品证据及本地化基础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首发需求验证与获客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30%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验证可持续成交，而非单纯扩大声量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B2B渠道与样机／展示支持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20%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形成试单、有效渠道与补货能力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区域进入与合作适配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15%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支持已选定市场的本地伙伴与商业准备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研究评估与调整预备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15%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应对验证不足与策略修正</w:t>
            </w:r>
          </w:p>
        </w:tc>
      </w:tr>
    </w:tbl>
    <w:p>
      <w:r>
        <w:t>上述为假设性分配，合计100%；不包含整机研发、库存、模具、量产、物流、认证和固定人员支出。具体金额应由现金流承受能力决定，不建议在成本未知时先设全年销售额或广告投入承诺。</w:t>
      </w:r>
    </w:p>
    <w:p>
      <w:pPr>
        <w:pStyle w:val="Heading2"/>
      </w:pPr>
      <w:r>
        <w:t>最小责任体系</w:t>
      </w:r>
    </w:p>
    <w:p>
      <w:r>
        <w:t>负责人统一品牌、预算和扩张决策；产品／供应链负责人对配置、质量与交期负责；全球B2C负责人统筹众筹和直营；B2B负责人对渠道、项目与回款负责；服务与合规需有明确责任人。初期角色可兼任，关键责任不可缺位。海外伙伴负责本地能力，不替代总部的产品与交付责任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管理目标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核心指标及口径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真实需求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支付转化与净订单、常态价格成交占比；意向不计为收入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经营质量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分渠道净贡献、获客成本、退款退货损失及现金缺口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交付与体验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按承诺交付率、功能故障率、退货原因及售后单位成本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B2B效率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有效商机、付费试单、已回款订单、实际补货与逾期款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品牌与长期性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sz w:val="18"/>
              </w:rPr>
              <w:t>自然／直接成交趋势、真实推荐、系列产品付费兴趣</w:t>
            </w:r>
          </w:p>
        </w:tc>
      </w:tr>
    </w:tbl>
    <w:p>
      <w:r>
        <w:br w:type="page"/>
      </w:r>
    </w:p>
    <w:p>
      <w:pPr>
        <w:pStyle w:val="Heading1"/>
      </w:pPr>
      <w:r>
        <w:t>15  风险、情景与最终决策清单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主要风险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战略应对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调整信号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新奇性强、长期价值弱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定位与真实体验匹配；系列扩展前验证持续满意度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退货集中于“与预期不同”，正常售价成交不足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众筹成功但交付亏损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冻结可交付配置；按净贡献和现金测算目标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销量增加却现金缺口扩大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全球铺开超出组织能力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国家与渠道分批进入；售后和合规先行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本地服务缺位、费用不清、延迟反复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B2B意向热闹但没有回款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付费试单与真实补货作为证据；谨慎账期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长期停留在免费样机或无约束代理讨论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价格混乱与渠道争抢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统一价格逻辑、版本与客户权责；遵守竞争法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跨区套利、互相压价或大规模退货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新品研发拖累主力产品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现款交付优先；行走／飞行独立资源闸门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核心质量或供货因概念新品恶化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知识产权与安全事故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上市前完成权利、合规及产品责任评估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sz w:val="18"/>
              </w:rPr>
              <w:t>核心设计侵权疑虑、未解释的安全缺陷</w:t>
            </w:r>
          </w:p>
        </w:tc>
      </w:tr>
    </w:tbl>
    <w:p>
      <w:pPr>
        <w:pStyle w:val="Heading2"/>
      </w:pPr>
      <w:r>
        <w:t>三种经营情景</w:t>
      </w:r>
    </w:p>
    <w:p>
      <w:r>
        <w:t>保守情景：众筹转化或交付证据不足，集中一个产品和市场，B2B保留小额标准订单，暂缓新鸟种及地区扩张。基准情景：首轮交付稳定，独立站常态零售和少量渠道补货成立，再进入一个亚洲市场。扩张情景：跨地区复购、渠道净贡献与现金均成立，推进下一鸟种和更多伙伴；行走／飞行仍按独立闸门决策。</w:t>
      </w:r>
    </w:p>
    <w:p>
      <w:pPr>
        <w:pStyle w:val="Heading2"/>
      </w:pPr>
      <w:r>
        <w:t>管理层需要确认的六项输入</w:t>
      </w:r>
    </w:p>
    <w:p>
      <w:r>
        <w:t>1. 桌面喜鹊的真实功能、量产状态及主要使用人群。</w:t>
        <w:br/>
        <w:t>2. 目标售价、整机及包装成本、最低批量和质量预期。</w:t>
        <w:br/>
        <w:t>3. 首发可承受资金、履约周期和供应商付款安排。</w:t>
        <w:br/>
        <w:t>4. 公司主体、海外收款及拟选平台的可用资格。</w:t>
        <w:br/>
        <w:t>5. 各地区认证、知识产权、进口与服务责任。</w:t>
        <w:br/>
        <w:t>6. 首发主市场、B2B优先行业和各负责人。</w:t>
      </w:r>
    </w:p>
    <w:p>
      <w:pPr>
        <w:pStyle w:val="Heading2"/>
      </w:pPr>
      <w:r>
        <w:t>建议拍板的战略方向</w:t>
      </w:r>
    </w:p>
    <w:p>
      <w:r>
        <w:t>批准“桌面喜鹊单品聚焦＋欧美单一主市场首发＋独立站同步建设＋精选B2B试单”的第一阶段布局。将日韩／台湾地区、第二鸟种、行走与飞行分别设为后续有条件投资。先让一只鸟成为消费者愿意购买、伙伴愿意补货、公司能够持续交付的产品，再把它发展成一个全球品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战略建议稿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杭州易加仿生科技有限公司  |  全球营销布局与销售战略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53C4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8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8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 w:eastAsia="Noto Sans CJK SC"/>
      <w:color w:val="153C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杭州易加仿生科技有限公司｜全球营销布局与销售战略</dc:title>
  <dc:subject>桌面喜鹊、仿生鸟产品路线、全球B2C及B2B销售布局</dc:subject>
  <dc:creator>战略规划建议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