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37708" w14:textId="07355CB2" w:rsidR="00AF1D47" w:rsidRPr="00113C23" w:rsidRDefault="00113C23">
      <w:pPr>
        <w:rPr>
          <w:rFonts w:ascii="Bookman Old Style" w:hAnsi="Bookman Old Style"/>
          <w:color w:val="833C0B" w:themeColor="accent2" w:themeShade="80"/>
          <w:sz w:val="52"/>
          <w:szCs w:val="52"/>
          <w:lang w:val="en-US"/>
        </w:rPr>
      </w:pPr>
      <w:r w:rsidRPr="00113C23">
        <w:rPr>
          <w:rFonts w:ascii="Bookman Old Style" w:hAnsi="Bookman Old Style"/>
          <w:color w:val="833C0B" w:themeColor="accent2" w:themeShade="80"/>
          <w:sz w:val="52"/>
          <w:szCs w:val="52"/>
          <w:lang w:val="en-US"/>
        </w:rPr>
        <w:t xml:space="preserve">D&amp;A Super </w:t>
      </w:r>
      <w:r w:rsidR="003E28A7">
        <w:rPr>
          <w:rFonts w:ascii="Bookman Old Style" w:hAnsi="Bookman Old Style"/>
          <w:color w:val="833C0B" w:themeColor="accent2" w:themeShade="80"/>
          <w:sz w:val="52"/>
          <w:szCs w:val="52"/>
          <w:lang w:val="en-US"/>
        </w:rPr>
        <w:t>S</w:t>
      </w:r>
      <w:r w:rsidRPr="00113C23">
        <w:rPr>
          <w:rFonts w:ascii="Bookman Old Style" w:hAnsi="Bookman Old Style"/>
          <w:color w:val="833C0B" w:themeColor="accent2" w:themeShade="80"/>
          <w:sz w:val="52"/>
          <w:szCs w:val="52"/>
          <w:lang w:val="en-US"/>
        </w:rPr>
        <w:t>tore</w:t>
      </w:r>
      <w:r w:rsidR="00D733EA">
        <w:rPr>
          <w:rFonts w:ascii="Bookman Old Style" w:hAnsi="Bookman Old Style"/>
          <w:color w:val="833C0B" w:themeColor="accent2" w:themeShade="80"/>
          <w:sz w:val="52"/>
          <w:szCs w:val="52"/>
          <w:lang w:val="en-US"/>
        </w:rPr>
        <w:t xml:space="preserve"> (US)</w:t>
      </w:r>
    </w:p>
    <w:p w14:paraId="16ED3A25" w14:textId="63011D74" w:rsidR="00113C23" w:rsidRPr="00113C23" w:rsidRDefault="00113C23">
      <w:pPr>
        <w:rPr>
          <w:rFonts w:ascii="Bookman Old Style" w:hAnsi="Bookman Old Style"/>
          <w:sz w:val="36"/>
          <w:szCs w:val="36"/>
          <w:lang w:val="en-US"/>
        </w:rPr>
      </w:pPr>
      <w:r w:rsidRPr="00113C23">
        <w:rPr>
          <w:rFonts w:ascii="Bookman Old Style" w:hAnsi="Bookman Old Style"/>
          <w:sz w:val="36"/>
          <w:szCs w:val="36"/>
          <w:lang w:val="en-US"/>
        </w:rPr>
        <w:t>Sales dashboard</w:t>
      </w:r>
    </w:p>
    <w:p w14:paraId="7E6B54EB" w14:textId="77777777" w:rsidR="00113C23" w:rsidRPr="00113C23" w:rsidRDefault="00113C23" w:rsidP="00113C23">
      <w:pPr>
        <w:rPr>
          <w:rFonts w:ascii="Bookman Old Style" w:hAnsi="Bookman Old Style"/>
          <w:sz w:val="32"/>
          <w:szCs w:val="32"/>
          <w:u w:val="single"/>
          <w:lang w:val="en-US"/>
        </w:rPr>
      </w:pPr>
      <w:r w:rsidRPr="00113C23">
        <w:rPr>
          <w:rFonts w:ascii="Bookman Old Style" w:hAnsi="Bookman Old Style"/>
          <w:sz w:val="32"/>
          <w:szCs w:val="32"/>
          <w:u w:val="single"/>
          <w:lang w:val="en-US"/>
        </w:rPr>
        <w:t>Executive Summary</w:t>
      </w:r>
    </w:p>
    <w:p w14:paraId="76A5A6D1" w14:textId="393068A3" w:rsidR="00113C23" w:rsidRPr="00113C23" w:rsidRDefault="00113C23" w:rsidP="00113C2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3C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D&amp;A Super Store Sales Dashboard offers a highly accurate, multi-page business intelligence tool tracking long-term retail operations. The dashboard successfully aggregates data across five major high-level KPIs: $1.57M in Total Sales, $175.26K in Total Profit, 22K in Total Quantity Sold, an Average Order Value (AOV) of $70, and a rapid Average Shipping time of 4 days. </w:t>
      </w:r>
    </w:p>
    <w:p w14:paraId="379ED293" w14:textId="0BE9D1EB" w:rsidR="00113C23" w:rsidRDefault="00113C2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3C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By analyzing behavioral segments, operational fulfillment metrics, geographic distributions, and integrating a dedicated 10-day time-series forecasting engine, this dashboard provides a comprehensive look at historical performance while accurately projecting future store demand.</w:t>
      </w:r>
    </w:p>
    <w:p w14:paraId="550C673C" w14:textId="77777777" w:rsidR="005965F2" w:rsidRPr="00D63D44" w:rsidRDefault="005965F2" w:rsidP="005965F2">
      <w:pPr>
        <w:rPr>
          <w:rFonts w:ascii="Bookman Old Style" w:hAnsi="Bookman Old Style"/>
          <w:sz w:val="32"/>
          <w:szCs w:val="32"/>
          <w:u w:val="single"/>
          <w:lang w:val="en-US"/>
        </w:rPr>
      </w:pPr>
      <w:r w:rsidRPr="00D63D44">
        <w:rPr>
          <w:rFonts w:ascii="Bookman Old Style" w:hAnsi="Bookman Old Style"/>
          <w:sz w:val="32"/>
          <w:szCs w:val="32"/>
          <w:u w:val="single"/>
          <w:lang w:val="en-US"/>
        </w:rPr>
        <w:t>The 30-Second Briefing</w:t>
      </w:r>
    </w:p>
    <w:p w14:paraId="57E13B4B" w14:textId="77777777" w:rsidR="005965F2" w:rsidRPr="00D63D44" w:rsidRDefault="005965F2" w:rsidP="005965F2">
      <w:pPr>
        <w:pStyle w:val="NormalWeb"/>
        <w:numPr>
          <w:ilvl w:val="0"/>
          <w:numId w:val="4"/>
        </w:numPr>
        <w:spacing w:before="0" w:beforeAutospacing="0" w:line="360" w:lineRule="auto"/>
      </w:pPr>
      <w:r w:rsidRPr="00D63D44">
        <w:rPr>
          <w:b/>
          <w:bCs/>
          <w:u w:val="dash"/>
        </w:rPr>
        <w:t>The Big Picture:</w:t>
      </w:r>
      <w:r>
        <w:rPr>
          <w:rFonts w:ascii="Arial" w:hAnsi="Arial" w:cs="Arial"/>
        </w:rPr>
        <w:t xml:space="preserve"> </w:t>
      </w:r>
      <w:r w:rsidRPr="00D63D44">
        <w:t xml:space="preserve">We’ve generated </w:t>
      </w:r>
      <w:r w:rsidRPr="00D63D44">
        <w:rPr>
          <w:b/>
          <w:bCs/>
        </w:rPr>
        <w:t>$1.57M in sales</w:t>
      </w:r>
      <w:r w:rsidRPr="00D63D44">
        <w:t xml:space="preserve"> with a healthy </w:t>
      </w:r>
      <w:r w:rsidRPr="00D63D44">
        <w:rPr>
          <w:b/>
          <w:bCs/>
        </w:rPr>
        <w:t>11% profit margin ($175.26K)</w:t>
      </w:r>
      <w:r w:rsidRPr="00D63D44">
        <w:t xml:space="preserve">. However, our </w:t>
      </w:r>
      <w:r w:rsidRPr="00D63D44">
        <w:rPr>
          <w:b/>
          <w:bCs/>
        </w:rPr>
        <w:t>average shipping time is sitting at 4 days</w:t>
      </w:r>
      <w:r w:rsidRPr="00D63D44">
        <w:t xml:space="preserve">, largely because </w:t>
      </w:r>
      <w:r w:rsidRPr="00D63D44">
        <w:rPr>
          <w:b/>
          <w:bCs/>
        </w:rPr>
        <w:t>60% of our volume relies on Standard Class shipping</w:t>
      </w:r>
      <w:r w:rsidRPr="00D63D44">
        <w:t xml:space="preserve">. If we optimize this logistics bottleneck, we can dramatically improve customer satisfaction and lifetime value. </w:t>
      </w:r>
    </w:p>
    <w:p w14:paraId="76AC858F" w14:textId="77777777" w:rsidR="005965F2" w:rsidRDefault="005965F2" w:rsidP="005965F2">
      <w:pPr>
        <w:pStyle w:val="NormalWeb"/>
        <w:numPr>
          <w:ilvl w:val="0"/>
          <w:numId w:val="4"/>
        </w:numPr>
        <w:spacing w:before="0" w:beforeAutospacing="0" w:line="360" w:lineRule="auto"/>
        <w:rPr>
          <w:rFonts w:ascii="Arial" w:hAnsi="Arial" w:cs="Arial"/>
        </w:rPr>
      </w:pPr>
      <w:r w:rsidRPr="00D63D44">
        <w:rPr>
          <w:b/>
          <w:bCs/>
          <w:u w:val="dash"/>
        </w:rPr>
        <w:t>Where to Focus:</w:t>
      </w:r>
      <w:r>
        <w:rPr>
          <w:rFonts w:ascii="Arial" w:hAnsi="Arial" w:cs="Arial"/>
        </w:rPr>
        <w:t xml:space="preserve"> </w:t>
      </w:r>
      <w:r w:rsidRPr="00D63D44">
        <w:t xml:space="preserve">Cash on Delivery (COD) is dominating at </w:t>
      </w:r>
      <w:r w:rsidRPr="00D63D44">
        <w:rPr>
          <w:b/>
          <w:bCs/>
        </w:rPr>
        <w:t>43% of our payment mix</w:t>
      </w:r>
      <w:r w:rsidRPr="00D63D44">
        <w:t xml:space="preserve">, and the </w:t>
      </w:r>
      <w:r w:rsidRPr="00D63D44">
        <w:rPr>
          <w:b/>
          <w:bCs/>
        </w:rPr>
        <w:t>Consumer segment is driving nearly half of our revenue (48%)</w:t>
      </w:r>
      <w:r w:rsidRPr="00D63D44">
        <w:t xml:space="preserve">. Geographically, the </w:t>
      </w:r>
      <w:r w:rsidRPr="00D63D44">
        <w:rPr>
          <w:b/>
          <w:bCs/>
        </w:rPr>
        <w:t>West and East regions make up over 60% of our market</w:t>
      </w:r>
      <w:r w:rsidRPr="00D63D44">
        <w:t>, anchored heavily by California and New York.</w:t>
      </w:r>
      <w:r>
        <w:rPr>
          <w:rFonts w:ascii="Arial" w:hAnsi="Arial" w:cs="Arial"/>
        </w:rPr>
        <w:t xml:space="preserve"> </w:t>
      </w:r>
    </w:p>
    <w:p w14:paraId="2634DCEE" w14:textId="6E3D26DB" w:rsidR="005965F2" w:rsidRPr="005965F2" w:rsidRDefault="005965F2" w:rsidP="005965F2">
      <w:pPr>
        <w:pStyle w:val="NormalWeb"/>
        <w:numPr>
          <w:ilvl w:val="0"/>
          <w:numId w:val="4"/>
        </w:numPr>
        <w:spacing w:before="0" w:beforeAutospacing="0" w:line="360" w:lineRule="auto"/>
      </w:pPr>
      <w:r w:rsidRPr="00D63D44">
        <w:rPr>
          <w:b/>
          <w:bCs/>
          <w:u w:val="dash"/>
        </w:rPr>
        <w:t>The Action Plan:</w:t>
      </w:r>
      <w:r>
        <w:rPr>
          <w:rFonts w:ascii="Arial" w:hAnsi="Arial" w:cs="Arial"/>
        </w:rPr>
        <w:t xml:space="preserve"> </w:t>
      </w:r>
      <w:r w:rsidRPr="00D63D44">
        <w:t>Moving into next quarter, we should incentivize online/card payments to reduce COD friction, run targeted promotions on our high-performing technology and furniture categories, and explore premium shipping incentives for our core coastal hubs to capture immediate revenue.</w:t>
      </w:r>
    </w:p>
    <w:p w14:paraId="0210C78D" w14:textId="0F9DA8FC" w:rsidR="00113C23" w:rsidRPr="00113C23" w:rsidRDefault="00113C23">
      <w:pPr>
        <w:rPr>
          <w:rFonts w:ascii="Bookman Old Style" w:hAnsi="Bookman Old Style"/>
          <w:sz w:val="32"/>
          <w:szCs w:val="32"/>
          <w:u w:val="single"/>
          <w:lang w:val="en-US"/>
        </w:rPr>
      </w:pPr>
      <w:r w:rsidRPr="00113C23">
        <w:rPr>
          <w:rFonts w:ascii="Bookman Old Style" w:hAnsi="Bookman Old Style"/>
          <w:sz w:val="32"/>
          <w:szCs w:val="32"/>
          <w:u w:val="single"/>
          <w:lang w:val="en-US"/>
        </w:rPr>
        <w:t>Key Insights &amp; Data Interpretations</w:t>
      </w:r>
    </w:p>
    <w:p w14:paraId="7BD7C416" w14:textId="3449F687" w:rsidR="00113C23" w:rsidRPr="00113C23" w:rsidRDefault="00113C23" w:rsidP="00113C2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E28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dash"/>
          <w:lang w:eastAsia="en-IN"/>
          <w14:ligatures w14:val="none"/>
        </w:rPr>
        <w:t>Year-Over-Year Optimization:</w:t>
      </w:r>
      <w:r w:rsidRPr="00113C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"Sales by Month" and "Profits by Month" charts show clear operational scale from 2019 to 2020. The 2020 metrics (darker line) show significantly higher peaks over 2019, </w:t>
      </w:r>
      <w:r w:rsidRPr="00113C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especially during massive holiday volume surges in November and December.</w:t>
      </w:r>
    </w:p>
    <w:p w14:paraId="0D713E99" w14:textId="1E012F3A" w:rsidR="00113C23" w:rsidRPr="00113C23" w:rsidRDefault="00113C23" w:rsidP="00113C2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E28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dash"/>
          <w:lang w:eastAsia="en-IN"/>
          <w14:ligatures w14:val="none"/>
        </w:rPr>
        <w:t>The Massive Consumer Base:</w:t>
      </w:r>
      <w:r w:rsidRPr="00113C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storefront leans heavily on individual retail buyers. The Consumer segment brings in nearly half of all business at 48%, dwarf-emphasizing Corporate clients (33%) and Home Office buyers (19%).</w:t>
      </w:r>
    </w:p>
    <w:p w14:paraId="21C9E038" w14:textId="79CDF602" w:rsidR="00113C23" w:rsidRPr="00113C23" w:rsidRDefault="00113C23" w:rsidP="00113C2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E28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dash"/>
          <w:lang w:eastAsia="en-IN"/>
          <w14:ligatures w14:val="none"/>
        </w:rPr>
        <w:t>Logistics &amp; Delivery Efficiency:</w:t>
      </w:r>
      <w:r w:rsidRPr="00113C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Customers heavily favor economic shipping options, with Standard Class driving a massive $0.91M in sales. Despite this reliance on budget shipping, the store maintains an impressive, fast Average Shipping timeline of just 4 days globally.</w:t>
      </w:r>
    </w:p>
    <w:p w14:paraId="22ACE947" w14:textId="0B0EC12A" w:rsidR="00113C23" w:rsidRPr="00113C23" w:rsidRDefault="00113C23" w:rsidP="00113C2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E28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dash"/>
          <w:lang w:eastAsia="en-IN"/>
          <w14:ligatures w14:val="none"/>
        </w:rPr>
        <w:t>Inventory Revenue Highlights:</w:t>
      </w:r>
      <w:r w:rsidRPr="00113C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Office Supplies is the top-grossing major category at $0.64M. However, looking at individual sub-categories, technical and high-value items take the crown—Phones ($0.20M) and Chairs ($0.18M) lead the product mix.</w:t>
      </w:r>
    </w:p>
    <w:p w14:paraId="546E51A0" w14:textId="160384F1" w:rsidR="00113C23" w:rsidRPr="00113C23" w:rsidRDefault="00113C23" w:rsidP="00113C2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E28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dash"/>
          <w:lang w:eastAsia="en-IN"/>
          <w14:ligatures w14:val="none"/>
        </w:rPr>
        <w:t>Geographic Wealth Belts:</w:t>
      </w:r>
      <w:r w:rsidRPr="00113C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West (33%) and East (29%) are your core regions. On a granular state level, California ($0.34M) and New York ($0.19M) serve as your undisputed high-revenue anchor markets.</w:t>
      </w:r>
    </w:p>
    <w:p w14:paraId="17069ABA" w14:textId="4CF78930" w:rsidR="00113C23" w:rsidRDefault="00113C23" w:rsidP="00113C2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E28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dash"/>
          <w:lang w:eastAsia="en-IN"/>
          <w14:ligatures w14:val="none"/>
        </w:rPr>
        <w:t>Advanced Sales Forecasting:</w:t>
      </w:r>
      <w:r w:rsidRPr="00113C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Page two tracks a highly volatile daily sales sequence across two years. The lower chart acts as a brilliant, granular zoom-in on the critical Q4-to-Q1 transition period (Nov 2020 through Jan 2021), highlighting the 10-day predictive buffer where sales are projected to experience a post-holiday stabilization.</w:t>
      </w:r>
    </w:p>
    <w:p w14:paraId="433C6A46" w14:textId="77777777" w:rsidR="00D63D44" w:rsidRPr="00D63D44" w:rsidRDefault="00D63D44" w:rsidP="00D63D44">
      <w:pPr>
        <w:spacing w:line="276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D63D44" w:rsidRPr="00D63D44" w:rsidSect="00113C2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E1489"/>
    <w:multiLevelType w:val="multilevel"/>
    <w:tmpl w:val="2350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34483"/>
    <w:multiLevelType w:val="hybridMultilevel"/>
    <w:tmpl w:val="118ED3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943354"/>
    <w:multiLevelType w:val="hybridMultilevel"/>
    <w:tmpl w:val="A9FE0E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817F5D"/>
    <w:multiLevelType w:val="hybridMultilevel"/>
    <w:tmpl w:val="4948D41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2881801">
    <w:abstractNumId w:val="1"/>
  </w:num>
  <w:num w:numId="2" w16cid:durableId="1987856359">
    <w:abstractNumId w:val="0"/>
  </w:num>
  <w:num w:numId="3" w16cid:durableId="907374805">
    <w:abstractNumId w:val="2"/>
  </w:num>
  <w:num w:numId="4" w16cid:durableId="2007048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23"/>
    <w:rsid w:val="00113C23"/>
    <w:rsid w:val="003E28A7"/>
    <w:rsid w:val="005965F2"/>
    <w:rsid w:val="00AF1D47"/>
    <w:rsid w:val="00D63D44"/>
    <w:rsid w:val="00D7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230E"/>
  <w15:chartTrackingRefBased/>
  <w15:docId w15:val="{6ED5F4E6-C79E-4A15-89F2-862D909F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3C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3C2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113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113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Anwar Ali</dc:creator>
  <cp:keywords/>
  <dc:description/>
  <cp:lastModifiedBy>Md Anwar Ali</cp:lastModifiedBy>
  <cp:revision>5</cp:revision>
  <dcterms:created xsi:type="dcterms:W3CDTF">2026-05-31T13:41:00Z</dcterms:created>
  <dcterms:modified xsi:type="dcterms:W3CDTF">2026-05-31T14:31:00Z</dcterms:modified>
</cp:coreProperties>
</file>