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2060" w14:textId="37454EDF" w:rsidR="002E7BDE" w:rsidRDefault="002E7BDE" w:rsidP="002E7BD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Robust Control of Robotic Manipulators using RBF Neural Networks</w:t>
      </w:r>
    </w:p>
    <w:p w14:paraId="1C6D5F5A" w14:textId="77777777" w:rsidR="002E7BDE" w:rsidRDefault="002E7BDE" w:rsidP="002E7BD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4EE9EE" w14:textId="0AB5FAA0" w:rsidR="002E7BDE" w:rsidRDefault="002E7BDE" w:rsidP="002E7B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Introduction </w:t>
      </w:r>
    </w:p>
    <w:p w14:paraId="3C2BA0C8" w14:textId="24EDA9D5" w:rsidR="002E7BDE" w:rsidRDefault="002E7BDE" w:rsidP="002E7BD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dynamic equation of an n-link robotic manipulator is given by:</w:t>
      </w:r>
    </w:p>
    <w:p w14:paraId="17E88442" w14:textId="0788E2EE" w:rsidR="002E7BDE" w:rsidRPr="002E7BDE" w:rsidRDefault="002E7BDE" w:rsidP="002E7BDE">
      <w:pPr>
        <w:jc w:val="center"/>
        <w:rPr>
          <w:rFonts w:ascii="Times New Roman" w:hAnsi="Times New Roman" w:cs="Times New Roman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+C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y, 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+G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=τ</m:t>
          </m:r>
        </m:oMath>
      </m:oMathPara>
    </w:p>
    <w:p w14:paraId="658AACC5" w14:textId="248D006F" w:rsidR="002E7BDE" w:rsidRPr="002E7BDE" w:rsidRDefault="002E7BDE" w:rsidP="002E7BDE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2E7BDE">
        <w:rPr>
          <w:rFonts w:ascii="Times New Roman" w:hAnsi="Times New Roman" w:cs="Times New Roman"/>
          <w:lang w:val="en-US"/>
        </w:rPr>
        <w:t>where</w:t>
      </w:r>
      <w:proofErr w:type="gramEnd"/>
      <w:r w:rsidRPr="002E7BDE">
        <w:rPr>
          <w:rFonts w:ascii="Times New Roman" w:hAnsi="Times New Roman" w:cs="Times New Roman"/>
          <w:lang w:val="en-US"/>
        </w:rPr>
        <w:t xml:space="preserve">, </w:t>
      </w:r>
    </w:p>
    <w:p w14:paraId="0743EC9D" w14:textId="56609517" w:rsidR="002E7BDE" w:rsidRPr="002E7BDE" w:rsidRDefault="002E7BDE" w:rsidP="002E7BD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M(y)</m:t>
        </m:r>
      </m:oMath>
      <w:r w:rsidRPr="002E7BDE">
        <w:rPr>
          <w:rFonts w:ascii="Times New Roman" w:hAnsi="Times New Roman" w:cs="Times New Roman"/>
          <w:b/>
          <w:bCs/>
        </w:rPr>
        <w:t xml:space="preserve"> </w:t>
      </w:r>
      <w:r w:rsidRPr="002E7BDE">
        <w:rPr>
          <w:rFonts w:ascii="Times New Roman" w:hAnsi="Times New Roman" w:cs="Times New Roman"/>
        </w:rPr>
        <w:t xml:space="preserve">is the inertia matrix of dimensions </w:t>
      </w:r>
      <m:oMath>
        <m:r>
          <w:rPr>
            <w:rFonts w:ascii="Cambria Math" w:hAnsi="Cambria Math" w:cs="Times New Roman"/>
            <w:lang w:val="en-US"/>
          </w:rPr>
          <m:t>n×n</m:t>
        </m:r>
      </m:oMath>
    </w:p>
    <w:p w14:paraId="53D8EC8B" w14:textId="0302B65C" w:rsidR="002E7BDE" w:rsidRPr="002E7BDE" w:rsidRDefault="002E7BDE" w:rsidP="002E7BD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C(y,</m:t>
        </m:r>
        <m:acc>
          <m:accPr>
            <m:chr m:val="̇"/>
            <m:ctrlPr>
              <w:rPr>
                <w:rFonts w:ascii="Cambria Math" w:hAnsi="Cambria Math" w:cs="Times New Roman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Times New Roman"/>
            <w:lang w:val="en-US"/>
          </w:rPr>
          <m:t>)</m:t>
        </m:r>
      </m:oMath>
      <w:r w:rsidRPr="002E7BDE">
        <w:rPr>
          <w:rFonts w:ascii="Times New Roman" w:hAnsi="Times New Roman" w:cs="Times New Roman"/>
          <w:b/>
          <w:bCs/>
        </w:rPr>
        <w:t xml:space="preserve"> </w:t>
      </w:r>
      <w:r w:rsidRPr="002E7BDE">
        <w:rPr>
          <w:rFonts w:ascii="Times New Roman" w:hAnsi="Times New Roman" w:cs="Times New Roman"/>
        </w:rPr>
        <w:t xml:space="preserve">is the matrix containing Coriolis and Centrifugal terms of same dimensions as inertia matrix. </w:t>
      </w:r>
    </w:p>
    <w:p w14:paraId="43F78276" w14:textId="4D638AA2" w:rsidR="002E7BDE" w:rsidRPr="002E7BDE" w:rsidRDefault="002E7BDE" w:rsidP="002E7BD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G(y)</m:t>
        </m:r>
      </m:oMath>
      <w:r w:rsidRPr="002E7BDE">
        <w:rPr>
          <w:rFonts w:ascii="Times New Roman" w:hAnsi="Times New Roman" w:cs="Times New Roman"/>
          <w:b/>
          <w:bCs/>
        </w:rPr>
        <w:t xml:space="preserve"> </w:t>
      </w:r>
      <w:r w:rsidRPr="002E7BDE">
        <w:rPr>
          <w:rFonts w:ascii="Times New Roman" w:hAnsi="Times New Roman" w:cs="Times New Roman"/>
        </w:rPr>
        <w:t xml:space="preserve">is the gravity matrix of dimensions </w:t>
      </w:r>
      <m:oMath>
        <m:r>
          <w:rPr>
            <w:rFonts w:ascii="Cambria Math" w:hAnsi="Cambria Math" w:cs="Times New Roman"/>
            <w:lang w:val="en-US"/>
          </w:rPr>
          <m:t>n×1</m:t>
        </m:r>
      </m:oMath>
    </w:p>
    <w:p w14:paraId="0954CD46" w14:textId="38415819" w:rsidR="002E7BDE" w:rsidRDefault="002E7BDE" w:rsidP="002E7BD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τ</m:t>
        </m:r>
      </m:oMath>
      <w:r w:rsidRPr="002E7BDE">
        <w:rPr>
          <w:rFonts w:ascii="Times New Roman" w:hAnsi="Times New Roman" w:cs="Times New Roman"/>
          <w:b/>
          <w:bCs/>
        </w:rPr>
        <w:t xml:space="preserve"> </w:t>
      </w:r>
      <w:r w:rsidRPr="002E7BDE">
        <w:rPr>
          <w:rFonts w:ascii="Times New Roman" w:hAnsi="Times New Roman" w:cs="Times New Roman"/>
        </w:rPr>
        <w:t xml:space="preserve">is the joint </w:t>
      </w:r>
      <w:proofErr w:type="gramStart"/>
      <w:r w:rsidRPr="002E7BDE">
        <w:rPr>
          <w:rFonts w:ascii="Times New Roman" w:hAnsi="Times New Roman" w:cs="Times New Roman"/>
        </w:rPr>
        <w:t>torques</w:t>
      </w:r>
      <w:proofErr w:type="gramEnd"/>
      <w:r>
        <w:rPr>
          <w:rFonts w:ascii="Times New Roman" w:hAnsi="Times New Roman" w:cs="Times New Roman"/>
        </w:rPr>
        <w:t xml:space="preserve"> vector. </w:t>
      </w:r>
    </w:p>
    <w:p w14:paraId="172D0E97" w14:textId="77777777" w:rsidR="002E7BDE" w:rsidRDefault="002E7BDE" w:rsidP="002E7BDE">
      <w:pPr>
        <w:jc w:val="both"/>
        <w:rPr>
          <w:rFonts w:ascii="Times New Roman" w:hAnsi="Times New Roman" w:cs="Times New Roman"/>
        </w:rPr>
      </w:pPr>
    </w:p>
    <w:p w14:paraId="2D33EA24" w14:textId="3C33928B" w:rsidR="00316860" w:rsidRDefault="00316860" w:rsidP="002E7BDE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In many practical applications, we are unaware of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M(y)</m:t>
        </m:r>
      </m:oMath>
      <w:r w:rsidRPr="00316860">
        <w:rPr>
          <w:rFonts w:ascii="Times New Roman" w:hAnsi="Times New Roman" w:cs="Times New Roman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C(y,</m:t>
        </m:r>
        <m:acc>
          <m:accPr>
            <m:chr m:val="̇"/>
            <m:ctrlPr>
              <w:rPr>
                <w:rFonts w:ascii="Cambria Math" w:hAnsi="Cambria Math" w:cs="Times New Roman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Times New Roman"/>
            <w:lang w:val="en-US"/>
          </w:rPr>
          <m:t>)</m:t>
        </m:r>
      </m:oMath>
      <w:r w:rsidRPr="00316860">
        <w:rPr>
          <w:rFonts w:ascii="Times New Roman" w:hAnsi="Times New Roman" w:cs="Times New Roman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G(y)</m:t>
        </m:r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. For this we can propose 3 different RBF neural networks which will calculate the values for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M(y)</m:t>
        </m:r>
      </m:oMath>
      <w:r w:rsidRPr="00316860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C(y,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316860">
        <w:rPr>
          <w:rFonts w:ascii="Times New Roman" w:eastAsiaTheme="minorEastAsia" w:hAnsi="Times New Roman" w:cs="Times New Roman"/>
          <w:i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G(y)</m:t>
        </m:r>
      </m:oMath>
      <w:r>
        <w:rPr>
          <w:rFonts w:ascii="Times New Roman" w:eastAsiaTheme="minorEastAsia" w:hAnsi="Times New Roman" w:cs="Times New Roman"/>
          <w:b/>
          <w:bCs/>
          <w:iCs/>
          <w:lang w:val="en-US"/>
        </w:rPr>
        <w:t xml:space="preserve">. </w:t>
      </w:r>
      <w:r w:rsidRPr="00316860">
        <w:rPr>
          <w:rFonts w:ascii="Times New Roman" w:eastAsiaTheme="minorEastAsia" w:hAnsi="Times New Roman" w:cs="Times New Roman"/>
          <w:i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M(y)</m:t>
        </m:r>
      </m:oMath>
      <w:r w:rsidRPr="00A05B5F">
        <w:rPr>
          <w:rFonts w:ascii="Times New Roman" w:eastAsiaTheme="minorEastAsia" w:hAnsi="Times New Roman" w:cs="Times New Roman"/>
          <w:b/>
          <w:bCs/>
          <w:iCs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C(y,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A05B5F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Pr="00A05B5F">
        <w:rPr>
          <w:rFonts w:ascii="Times New Roman" w:eastAsiaTheme="minorEastAsia" w:hAnsi="Times New Roman" w:cs="Times New Roman"/>
          <w:iCs/>
        </w:rPr>
        <w:t>and</w:t>
      </w:r>
      <w:r w:rsidRPr="00A05B5F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G(y)</m:t>
        </m:r>
      </m:oMath>
      <w:r w:rsidRPr="00316860">
        <w:rPr>
          <w:rFonts w:ascii="Times New Roman" w:eastAsiaTheme="minorEastAsia" w:hAnsi="Times New Roman" w:cs="Times New Roman"/>
          <w:iCs/>
        </w:rPr>
        <w:t xml:space="preserve"> are the ideal values of the respective matrices, i.e, the actual values of these matrices, 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SNN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(y)</m:t>
        </m:r>
      </m:oMath>
      <w:r w:rsidRPr="00A05B5F">
        <w:rPr>
          <w:rFonts w:ascii="Times New Roman" w:eastAsiaTheme="minorEastAsia" w:hAnsi="Times New Roman" w:cs="Times New Roman"/>
          <w:b/>
          <w:bCs/>
          <w:iCs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 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SNN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(y,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A05B5F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Pr="00A05B5F">
        <w:rPr>
          <w:rFonts w:ascii="Times New Roman" w:eastAsiaTheme="minorEastAsia" w:hAnsi="Times New Roman" w:cs="Times New Roman"/>
          <w:iCs/>
        </w:rPr>
        <w:t>and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 G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SNN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(y)</m:t>
        </m:r>
      </m:oMath>
      <w:r w:rsidRPr="00316860">
        <w:rPr>
          <w:rFonts w:ascii="Times New Roman" w:eastAsiaTheme="minorEastAsia" w:hAnsi="Times New Roman" w:cs="Times New Roman"/>
          <w:iCs/>
        </w:rPr>
        <w:t xml:space="preserve"> are the outputs of ideal RBF networks, we can write the following equations</w:t>
      </w:r>
      <w:r>
        <w:rPr>
          <w:rFonts w:ascii="Times New Roman" w:eastAsiaTheme="minorEastAsia" w:hAnsi="Times New Roman" w:cs="Times New Roman"/>
          <w:iCs/>
        </w:rPr>
        <w:t>:</w:t>
      </w:r>
    </w:p>
    <w:p w14:paraId="269356C2" w14:textId="77777777" w:rsidR="00316860" w:rsidRDefault="00316860" w:rsidP="002E7BDE">
      <w:pPr>
        <w:jc w:val="both"/>
        <w:rPr>
          <w:rFonts w:ascii="Times New Roman" w:eastAsiaTheme="minorEastAsia" w:hAnsi="Times New Roman" w:cs="Times New Roman"/>
          <w:iCs/>
        </w:rPr>
      </w:pPr>
    </w:p>
    <w:p w14:paraId="27C5A8D3" w14:textId="1F09BB4F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SNN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sub>
          </m:sSub>
        </m:oMath>
      </m:oMathPara>
    </w:p>
    <w:p w14:paraId="64EA6F55" w14:textId="661393C4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SNN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sub>
          </m:sSub>
        </m:oMath>
      </m:oMathPara>
    </w:p>
    <w:p w14:paraId="10BDF110" w14:textId="5F140C46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SNN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</m:oMath>
      </m:oMathPara>
    </w:p>
    <w:p w14:paraId="596E87DB" w14:textId="77777777" w:rsidR="00A05B5F" w:rsidRDefault="00A05B5F" w:rsidP="002E7BDE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44F1DED3" w14:textId="77777777" w:rsidR="00A05B5F" w:rsidRDefault="00A05B5F" w:rsidP="002E7BDE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H</w:t>
      </w:r>
      <w:r w:rsidRPr="00A05B5F">
        <w:rPr>
          <w:rFonts w:ascii="Times New Roman" w:eastAsiaTheme="minorEastAsia" w:hAnsi="Times New Roman" w:cs="Times New Roman"/>
          <w:iCs/>
        </w:rPr>
        <w:t xml:space="preserve">ere,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C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lang w:val="en-US"/>
          </w:rPr>
          <m:t> 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and</m:t>
        </m:r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 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</m:sSub>
      </m:oMath>
      <w:r w:rsidRPr="00A05B5F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Pr="00A05B5F">
        <w:rPr>
          <w:rFonts w:ascii="Times New Roman" w:eastAsiaTheme="minorEastAsia" w:hAnsi="Times New Roman" w:cs="Times New Roman"/>
          <w:iCs/>
        </w:rPr>
        <w:t xml:space="preserve">are the modelling errors of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M(y)</m:t>
        </m:r>
      </m:oMath>
      <w:r w:rsidRPr="00A05B5F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C(y,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A05B5F">
        <w:rPr>
          <w:rFonts w:ascii="Times New Roman" w:eastAsiaTheme="minorEastAsia" w:hAnsi="Times New Roman" w:cs="Times New Roman"/>
          <w:i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G(y)</m:t>
        </m:r>
      </m:oMath>
      <w:r w:rsidRPr="00A05B5F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Pr="00A05B5F">
        <w:rPr>
          <w:rFonts w:ascii="Times New Roman" w:eastAsiaTheme="minorEastAsia" w:hAnsi="Times New Roman" w:cs="Times New Roman"/>
          <w:iCs/>
        </w:rPr>
        <w:t xml:space="preserve">respectively. </w:t>
      </w:r>
    </w:p>
    <w:p w14:paraId="6954B466" w14:textId="77777777" w:rsidR="00A05B5F" w:rsidRDefault="00A05B5F" w:rsidP="002E7BDE">
      <w:pPr>
        <w:jc w:val="both"/>
        <w:rPr>
          <w:rFonts w:ascii="Times New Roman" w:eastAsiaTheme="minorEastAsia" w:hAnsi="Times New Roman" w:cs="Times New Roman"/>
          <w:iCs/>
        </w:rPr>
      </w:pPr>
    </w:p>
    <w:p w14:paraId="5095EA0A" w14:textId="0DFE216B" w:rsidR="00A05B5F" w:rsidRDefault="00A05B5F" w:rsidP="002E7BDE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A05B5F">
        <w:rPr>
          <w:rFonts w:ascii="Times New Roman" w:eastAsiaTheme="minorEastAsia" w:hAnsi="Times New Roman" w:cs="Times New Roman"/>
          <w:iCs/>
          <w:lang w:val="en-US"/>
        </w:rPr>
        <w:t>On substituting the above equations in the dynamic model, we get</w:t>
      </w:r>
    </w:p>
    <w:p w14:paraId="4684BCA5" w14:textId="36D69AA8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y, 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SNN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SNN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SNN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Times New Roman"/>
              <w:lang w:val="en-US"/>
            </w:rPr>
            <m:t>E</m:t>
          </m:r>
        </m:oMath>
      </m:oMathPara>
    </w:p>
    <w:p w14:paraId="6D45CF85" w14:textId="00D5E186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[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]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+[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y, 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]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+[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(y)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]+</m:t>
          </m:r>
          <m:r>
            <m:rPr>
              <m:sty m:val="b"/>
            </m:rPr>
            <w:rPr>
              <w:rFonts w:ascii="Cambria Math" w:eastAsiaTheme="minorEastAsia" w:hAnsi="Cambria Math" w:cs="Times New Roman"/>
              <w:lang w:val="en-US"/>
            </w:rPr>
            <m:t>E</m:t>
          </m:r>
        </m:oMath>
      </m:oMathPara>
    </w:p>
    <w:p w14:paraId="2E707BF8" w14:textId="2BB1555A" w:rsidR="00A05B5F" w:rsidRDefault="00A05B5F" w:rsidP="002E7BDE">
      <w:pPr>
        <w:jc w:val="both"/>
        <w:rPr>
          <w:rFonts w:ascii="Times New Roman" w:eastAsiaTheme="minorEastAsia" w:hAnsi="Times New Roman" w:cs="Times New Roman"/>
          <w:iCs/>
        </w:rPr>
      </w:pPr>
      <w:proofErr w:type="gramStart"/>
      <w:r>
        <w:rPr>
          <w:rFonts w:ascii="Times New Roman" w:eastAsiaTheme="minorEastAsia" w:hAnsi="Times New Roman" w:cs="Times New Roman"/>
          <w:iCs/>
        </w:rPr>
        <w:t>where</w:t>
      </w:r>
      <w:proofErr w:type="gramEnd"/>
      <w:r>
        <w:rPr>
          <w:rFonts w:ascii="Times New Roman" w:eastAsiaTheme="minorEastAsia" w:hAnsi="Times New Roman" w:cs="Times New Roman"/>
          <w:iCs/>
        </w:rPr>
        <w:t xml:space="preserve">, </w:t>
      </w:r>
    </w:p>
    <w:p w14:paraId="4ABA77B7" w14:textId="2779D752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E=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</m:oMath>
      </m:oMathPara>
    </w:p>
    <w:p w14:paraId="0069E2C0" w14:textId="77777777" w:rsidR="00A05B5F" w:rsidRDefault="00A05B5F" w:rsidP="002E7BDE">
      <w:pPr>
        <w:jc w:val="both"/>
        <w:rPr>
          <w:rFonts w:ascii="Times New Roman" w:eastAsiaTheme="minorEastAsia" w:hAnsi="Times New Roman" w:cs="Times New Roman"/>
          <w:iCs/>
        </w:rPr>
      </w:pPr>
    </w:p>
    <w:p w14:paraId="3F18BE3C" w14:textId="37B025F3" w:rsidR="00A05B5F" w:rsidRDefault="00A05B5F" w:rsidP="002E7BDE">
      <w:pPr>
        <w:jc w:val="both"/>
        <w:rPr>
          <w:rFonts w:ascii="Times New Roman" w:eastAsiaTheme="minorEastAsia" w:hAnsi="Times New Roman" w:cs="Times New Roman"/>
          <w:iCs/>
        </w:rPr>
      </w:pPr>
      <w:r w:rsidRPr="00A05B5F">
        <w:rPr>
          <w:rFonts w:ascii="Times New Roman" w:eastAsiaTheme="minorEastAsia" w:hAnsi="Times New Roman" w:cs="Times New Roman"/>
          <w:iCs/>
          <w:lang w:val="en-US"/>
        </w:rPr>
        <w:lastRenderedPageBreak/>
        <w:t xml:space="preserve">Obviously, the RBF networks in practice are not ideal, hence, we can only estimate the values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SNN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(y)</m:t>
        </m:r>
      </m:oMath>
      <w:r w:rsidRPr="00A05B5F">
        <w:rPr>
          <w:rFonts w:ascii="Times New Roman" w:eastAsiaTheme="minorEastAsia" w:hAnsi="Times New Roman" w:cs="Times New Roman"/>
          <w:iCs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 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SNN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(y,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A05B5F">
        <w:rPr>
          <w:rFonts w:ascii="Times New Roman" w:eastAsiaTheme="minorEastAsia" w:hAnsi="Times New Roman" w:cs="Times New Roman"/>
          <w:iCs/>
        </w:rPr>
        <w:t xml:space="preserve"> and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 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SNN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(y)</m:t>
        </m:r>
      </m:oMath>
      <w:r w:rsidRPr="00A05B5F">
        <w:rPr>
          <w:rFonts w:ascii="Times New Roman" w:eastAsiaTheme="minorEastAsia" w:hAnsi="Times New Roman" w:cs="Times New Roman"/>
          <w:iCs/>
          <w:lang w:val="en-US"/>
        </w:rPr>
        <w:t>.</w:t>
      </w:r>
    </w:p>
    <w:p w14:paraId="284338E3" w14:textId="24247745" w:rsidR="00A05B5F" w:rsidRDefault="00A05B5F" w:rsidP="002E7BDE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A05B5F">
        <w:rPr>
          <w:rFonts w:ascii="Times New Roman" w:eastAsiaTheme="minorEastAsia" w:hAnsi="Times New Roman" w:cs="Times New Roman"/>
          <w:iCs/>
          <w:lang w:val="en-US"/>
        </w:rPr>
        <w:t>These estimates are written as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: </w:t>
      </w:r>
    </w:p>
    <w:p w14:paraId="0B796B8F" w14:textId="6BD3BB02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SNN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 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(y)</m:t>
              </m:r>
            </m:e>
          </m:d>
        </m:oMath>
      </m:oMathPara>
    </w:p>
    <w:p w14:paraId="4C1FF52F" w14:textId="5286274A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SNN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 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(y, 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)</m:t>
              </m:r>
            </m:e>
          </m:d>
        </m:oMath>
      </m:oMathPara>
    </w:p>
    <w:p w14:paraId="010DFAAC" w14:textId="7289B76F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SNN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 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(y)</m:t>
              </m:r>
            </m:e>
          </m:d>
        </m:oMath>
      </m:oMathPara>
    </w:p>
    <w:p w14:paraId="764FF672" w14:textId="239B557D" w:rsidR="00A05B5F" w:rsidRDefault="00A05B5F" w:rsidP="002E7BDE">
      <w:pPr>
        <w:jc w:val="both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A05B5F">
        <w:rPr>
          <w:rFonts w:ascii="Times New Roman" w:eastAsiaTheme="minorEastAsia" w:hAnsi="Times New Roman" w:cs="Times New Roman"/>
          <w:iCs/>
          <w:lang w:val="en-US"/>
        </w:rPr>
        <w:t xml:space="preserve">Here,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W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sub>
            </m:sSub>
          </m:e>
        </m:d>
      </m:oMath>
      <w:r w:rsidRPr="00A05B5F">
        <w:rPr>
          <w:rFonts w:ascii="Times New Roman" w:eastAsiaTheme="minorEastAsia" w:hAnsi="Times New Roman" w:cs="Times New Roman"/>
          <w:iCs/>
          <w:lang w:val="en-US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W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sub>
            </m:sSub>
          </m:e>
        </m:d>
      </m:oMath>
      <w:r w:rsidRPr="00A05B5F">
        <w:rPr>
          <w:rFonts w:ascii="Times New Roman" w:eastAsiaTheme="minorEastAsia" w:hAnsi="Times New Roman" w:cs="Times New Roman"/>
          <w:iCs/>
          <w:lang w:val="en-US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W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G</m:t>
                </m:r>
              </m:sub>
            </m:sSub>
          </m:e>
        </m:d>
      </m:oMath>
      <w:r w:rsidRPr="00A05B5F">
        <w:rPr>
          <w:rFonts w:ascii="Times New Roman" w:eastAsiaTheme="minorEastAsia" w:hAnsi="Times New Roman" w:cs="Times New Roman"/>
          <w:iCs/>
          <w:lang w:val="en-US"/>
        </w:rPr>
        <w:t xml:space="preserve"> are estimates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sub>
            </m:sSub>
          </m:e>
        </m:d>
      </m:oMath>
      <w:r w:rsidRPr="00A05B5F">
        <w:rPr>
          <w:rFonts w:ascii="Times New Roman" w:eastAsiaTheme="minorEastAsia" w:hAnsi="Times New Roman" w:cs="Times New Roman"/>
          <w:iCs/>
          <w:lang w:val="en-US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sub>
            </m:sSub>
          </m:e>
        </m:d>
      </m:oMath>
      <w:r w:rsidRPr="00A05B5F">
        <w:rPr>
          <w:rFonts w:ascii="Times New Roman" w:eastAsiaTheme="minorEastAsia" w:hAnsi="Times New Roman" w:cs="Times New Roman"/>
          <w:iCs/>
          <w:lang w:val="en-US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G</m:t>
                </m:r>
              </m:sub>
            </m:sSub>
          </m:e>
        </m:d>
      </m:oMath>
    </w:p>
    <w:p w14:paraId="1212A249" w14:textId="77777777" w:rsidR="00A05B5F" w:rsidRDefault="00A05B5F" w:rsidP="002E7BDE">
      <w:pPr>
        <w:jc w:val="both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43B262C5" w14:textId="5EB6AA21" w:rsidR="00A05B5F" w:rsidRDefault="00A05B5F" w:rsidP="00A05B5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</w:rPr>
        <w:t xml:space="preserve">Controller Design </w:t>
      </w:r>
    </w:p>
    <w:p w14:paraId="2C5162E0" w14:textId="77777777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w:r w:rsidRPr="00A05B5F">
        <w:rPr>
          <w:rFonts w:ascii="Times New Roman" w:eastAsiaTheme="minorEastAsia" w:hAnsi="Times New Roman" w:cs="Times New Roman"/>
          <w:iCs/>
          <w:lang w:val="en-US"/>
        </w:rPr>
        <w:t xml:space="preserve">First, let us define the error terms: </w:t>
      </w:r>
    </w:p>
    <w:p w14:paraId="494AFB2C" w14:textId="51607B21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-y(</m:t>
          </m:r>
          <m:r>
            <w:rPr>
              <w:rFonts w:ascii="Cambria Math" w:eastAsiaTheme="minorEastAsia" w:hAnsi="Cambria Math" w:cs="Times New Roman"/>
              <w:lang w:val="en-US"/>
            </w:rPr>
            <m:t>t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5C92B1FB" w14:textId="37C52152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lang w:val="en-US"/>
            </w:rPr>
            <m:t>t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02C2D2B6" w14:textId="64612B9E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lang w:val="en-US"/>
            </w:rPr>
            <m:t>t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2F8C88CA" w14:textId="77777777" w:rsid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</w:p>
    <w:p w14:paraId="056350FE" w14:textId="77777777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w:r w:rsidRPr="00A05B5F">
        <w:rPr>
          <w:rFonts w:ascii="Times New Roman" w:eastAsiaTheme="minorEastAsia" w:hAnsi="Times New Roman" w:cs="Times New Roman"/>
          <w:iCs/>
          <w:lang w:val="en-US"/>
        </w:rPr>
        <w:t xml:space="preserve">Defining, </w:t>
      </w:r>
    </w:p>
    <w:p w14:paraId="4E26E309" w14:textId="1B507588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r= 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+Λe</m:t>
          </m:r>
        </m:oMath>
      </m:oMathPara>
    </w:p>
    <w:p w14:paraId="1F8C6B36" w14:textId="77777777" w:rsid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</w:p>
    <w:p w14:paraId="5C73E324" w14:textId="77777777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w:r w:rsidRPr="00A05B5F">
        <w:rPr>
          <w:rFonts w:ascii="Times New Roman" w:eastAsiaTheme="minorEastAsia" w:hAnsi="Times New Roman" w:cs="Times New Roman"/>
          <w:iCs/>
          <w:lang w:val="en-US"/>
        </w:rPr>
        <w:t xml:space="preserve">we have, </w:t>
      </w:r>
    </w:p>
    <w:p w14:paraId="64DDD622" w14:textId="4B7C4ACE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+Λe</m:t>
          </m:r>
        </m:oMath>
      </m:oMathPara>
    </w:p>
    <w:p w14:paraId="2D6CD26F" w14:textId="0F1DDBA5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+Λ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</m:acc>
        </m:oMath>
      </m:oMathPara>
    </w:p>
    <w:p w14:paraId="4C1D8EA5" w14:textId="77777777" w:rsid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</w:p>
    <w:p w14:paraId="49800205" w14:textId="35EAB91C" w:rsidR="00A05B5F" w:rsidRDefault="00A05B5F" w:rsidP="00A05B5F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A05B5F">
        <w:rPr>
          <w:rFonts w:ascii="Times New Roman" w:eastAsiaTheme="minorEastAsia" w:hAnsi="Times New Roman" w:cs="Times New Roman"/>
          <w:iCs/>
          <w:lang w:val="en-US"/>
        </w:rPr>
        <w:t>Now, we propose the following controller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: </w:t>
      </w:r>
    </w:p>
    <w:p w14:paraId="2025F369" w14:textId="77777777" w:rsidR="00A05B5F" w:rsidRDefault="00A05B5F" w:rsidP="00A05B5F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26891F4E" w14:textId="54BC884A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b/>
          <w:bCs/>
          <w:iCs/>
          <w:lang w:val="en-US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τ=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r+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ⅆt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</m:oMath>
      </m:oMathPara>
    </w:p>
    <w:p w14:paraId="20BA7B9F" w14:textId="77777777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</w:p>
    <w:p w14:paraId="3C849F2B" w14:textId="71031AC2" w:rsidR="00A05B5F" w:rsidRDefault="00A05B5F" w:rsidP="00A05B5F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A05B5F">
        <w:rPr>
          <w:rFonts w:ascii="Times New Roman" w:eastAsiaTheme="minorEastAsia" w:hAnsi="Times New Roman" w:cs="Times New Roman"/>
          <w:iCs/>
          <w:lang w:val="en-US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  <w:r w:rsidRPr="00A05B5F">
        <w:rPr>
          <w:rFonts w:ascii="Times New Roman" w:eastAsiaTheme="minorEastAsia" w:hAnsi="Times New Roman" w:cs="Times New Roman"/>
          <w:iCs/>
          <w:lang w:val="en-US"/>
        </w:rPr>
        <w:t xml:space="preserve"> is the model-estimated control law given by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: </w:t>
      </w:r>
    </w:p>
    <w:p w14:paraId="0762368D" w14:textId="77777777" w:rsidR="00A05B5F" w:rsidRDefault="00A05B5F" w:rsidP="00A05B5F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3694998F" w14:textId="2415A6E0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SNN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SNN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SNN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</m:oMath>
      </m:oMathPara>
    </w:p>
    <w:p w14:paraId="154B5E89" w14:textId="75C9AD92" w:rsidR="00A05B5F" w:rsidRDefault="00A05B5F" w:rsidP="00A05B5F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A05B5F">
        <w:rPr>
          <w:rFonts w:ascii="Times New Roman" w:eastAsiaTheme="minorEastAsia" w:hAnsi="Times New Roman" w:cs="Times New Roman"/>
          <w:iCs/>
          <w:lang w:val="en-US"/>
        </w:rPr>
        <w:lastRenderedPageBreak/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r</m:t>
            </m:r>
          </m:sub>
        </m:sSub>
      </m:oMath>
      <w:r w:rsidRPr="00A05B5F">
        <w:rPr>
          <w:rFonts w:ascii="Times New Roman" w:eastAsiaTheme="minorEastAsia" w:hAnsi="Times New Roman" w:cs="Times New Roman"/>
          <w:iCs/>
          <w:lang w:val="en-US"/>
        </w:rPr>
        <w:t xml:space="preserve"> is the robust term designed as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: </w:t>
      </w:r>
    </w:p>
    <w:p w14:paraId="2EBF25D3" w14:textId="77777777" w:rsidR="00A05B5F" w:rsidRDefault="00A05B5F" w:rsidP="00A05B5F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38FC8688" w14:textId="125F3B16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sgn(</m:t>
          </m:r>
          <m:r>
            <m:rPr>
              <m:sty m:val="b"/>
            </m:rPr>
            <w:rPr>
              <w:rFonts w:ascii="Cambria Math" w:eastAsiaTheme="minorEastAsia" w:hAnsi="Cambria Math" w:cs="Times New Roman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16A434FF" w14:textId="77777777" w:rsid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</w:p>
    <w:p w14:paraId="7EF87569" w14:textId="68EBD8E1" w:rsidR="00A05B5F" w:rsidRDefault="00A05B5F" w:rsidP="00A05B5F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A05B5F">
        <w:rPr>
          <w:rFonts w:ascii="Times New Roman" w:eastAsiaTheme="minorEastAsia" w:hAnsi="Times New Roman" w:cs="Times New Roman"/>
          <w:iCs/>
          <w:lang w:val="en-US"/>
        </w:rPr>
        <w:t xml:space="preserve">For finding the adaptive law for updating the weights of networks, we </w:t>
      </w:r>
      <w:proofErr w:type="gramStart"/>
      <w:r w:rsidRPr="00A05B5F">
        <w:rPr>
          <w:rFonts w:ascii="Times New Roman" w:eastAsiaTheme="minorEastAsia" w:hAnsi="Times New Roman" w:cs="Times New Roman"/>
          <w:iCs/>
          <w:lang w:val="en-US"/>
        </w:rPr>
        <w:t>have to</w:t>
      </w:r>
      <w:proofErr w:type="gramEnd"/>
      <w:r w:rsidRPr="00A05B5F">
        <w:rPr>
          <w:rFonts w:ascii="Times New Roman" w:eastAsiaTheme="minorEastAsia" w:hAnsi="Times New Roman" w:cs="Times New Roman"/>
          <w:iCs/>
          <w:lang w:val="en-US"/>
        </w:rPr>
        <w:t xml:space="preserve"> perform the Lyapunov Stability Analysis of the Control Law proposed which leads us to the following adaptive law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: </w:t>
      </w:r>
    </w:p>
    <w:p w14:paraId="0D748D38" w14:textId="77777777" w:rsidR="00A05B5F" w:rsidRDefault="00A05B5F" w:rsidP="00A05B5F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</w:p>
    <w:p w14:paraId="112795FB" w14:textId="12104384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Mk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l-GR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Mk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)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</m:oMath>
      </m:oMathPara>
    </w:p>
    <w:p w14:paraId="36B185BE" w14:textId="2B162763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Ck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l-GR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Ck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Ck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y, 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n-US"/>
                </w:rPr>
                <m:t>)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</m:oMath>
      </m:oMathPara>
    </w:p>
    <w:p w14:paraId="53648F68" w14:textId="3698DCFF" w:rsidR="00A05B5F" w:rsidRP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Gk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l-GR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Gk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Gk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)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</m:oMath>
      </m:oMathPara>
    </w:p>
    <w:p w14:paraId="627C7E3A" w14:textId="77777777" w:rsidR="00A05B5F" w:rsidRDefault="00A05B5F" w:rsidP="00A05B5F">
      <w:pPr>
        <w:jc w:val="both"/>
        <w:rPr>
          <w:rFonts w:ascii="Times New Roman" w:eastAsiaTheme="minorEastAsia" w:hAnsi="Times New Roman" w:cs="Times New Roman"/>
          <w:iCs/>
        </w:rPr>
      </w:pPr>
    </w:p>
    <w:p w14:paraId="3E2F5B50" w14:textId="50488978" w:rsidR="00A05B5F" w:rsidRPr="00A05B5F" w:rsidRDefault="0074564F" w:rsidP="00A05B5F">
      <w:pPr>
        <w:jc w:val="both"/>
        <w:rPr>
          <w:rFonts w:ascii="Times New Roman" w:eastAsiaTheme="minorEastAsia" w:hAnsi="Times New Roman" w:cs="Times New Roman"/>
          <w:iCs/>
        </w:rPr>
      </w:pPr>
      <w:r w:rsidRPr="0074564F">
        <w:rPr>
          <w:rFonts w:ascii="Times New Roman" w:eastAsiaTheme="minorEastAsia" w:hAnsi="Times New Roman" w:cs="Times New Roman"/>
          <w:iCs/>
          <w:lang w:val="en-US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l-GR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Mk</m:t>
            </m:r>
          </m:sub>
        </m:sSub>
      </m:oMath>
      <w:r w:rsidRPr="0074564F">
        <w:rPr>
          <w:rFonts w:ascii="Times New Roman" w:eastAsiaTheme="minorEastAsia" w:hAnsi="Times New Roman" w:cs="Times New Roman"/>
          <w:iCs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l-GR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Ck</m:t>
            </m:r>
          </m:sub>
        </m:sSub>
      </m:oMath>
      <w:r w:rsidRPr="0074564F">
        <w:rPr>
          <w:rFonts w:ascii="Times New Roman" w:eastAsiaTheme="minorEastAsia" w:hAnsi="Times New Roman" w:cs="Times New Roman"/>
          <w:iCs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l-GR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Gk</m:t>
            </m:r>
          </m:sub>
        </m:sSub>
      </m:oMath>
      <w:r w:rsidRPr="0074564F">
        <w:rPr>
          <w:rFonts w:ascii="Times New Roman" w:eastAsiaTheme="minorEastAsia" w:hAnsi="Times New Roman" w:cs="Times New Roman"/>
          <w:iCs/>
          <w:lang w:val="en-US"/>
        </w:rPr>
        <w:t xml:space="preserve"> are the learning rates for the respective RBF networks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. </w:t>
      </w:r>
    </w:p>
    <w:sectPr w:rsidR="00A05B5F" w:rsidRPr="00A0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FDBD" w14:textId="77777777" w:rsidR="00B54805" w:rsidRDefault="00B54805" w:rsidP="00A05B5F">
      <w:pPr>
        <w:spacing w:after="0" w:line="240" w:lineRule="auto"/>
      </w:pPr>
      <w:r>
        <w:separator/>
      </w:r>
    </w:p>
  </w:endnote>
  <w:endnote w:type="continuationSeparator" w:id="0">
    <w:p w14:paraId="5B01AD96" w14:textId="77777777" w:rsidR="00B54805" w:rsidRDefault="00B54805" w:rsidP="00A0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BBE87" w14:textId="77777777" w:rsidR="00B54805" w:rsidRDefault="00B54805" w:rsidP="00A05B5F">
      <w:pPr>
        <w:spacing w:after="0" w:line="240" w:lineRule="auto"/>
      </w:pPr>
      <w:r>
        <w:separator/>
      </w:r>
    </w:p>
  </w:footnote>
  <w:footnote w:type="continuationSeparator" w:id="0">
    <w:p w14:paraId="4409AEB5" w14:textId="77777777" w:rsidR="00B54805" w:rsidRDefault="00B54805" w:rsidP="00A05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3"/>
    <w:multiLevelType w:val="hybridMultilevel"/>
    <w:tmpl w:val="906C204C"/>
    <w:lvl w:ilvl="0" w:tplc="4ECC6DB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20CCBDC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F76D95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600281C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152ED03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B8E575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13C23D1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A662918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D1E5CB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1" w15:restartNumberingAfterBreak="0">
    <w:nsid w:val="1B3A2BB6"/>
    <w:multiLevelType w:val="hybridMultilevel"/>
    <w:tmpl w:val="662C1726"/>
    <w:lvl w:ilvl="0" w:tplc="5AB43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80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A1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2B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B2A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C8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67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EF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4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602BAF"/>
    <w:multiLevelType w:val="hybridMultilevel"/>
    <w:tmpl w:val="36F23C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212014"/>
    <w:multiLevelType w:val="hybridMultilevel"/>
    <w:tmpl w:val="7E3A12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021CB8"/>
    <w:multiLevelType w:val="hybridMultilevel"/>
    <w:tmpl w:val="F8BCF1FC"/>
    <w:lvl w:ilvl="0" w:tplc="F132D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85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B0F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41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C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4D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1E4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E1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E4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FB48A8"/>
    <w:multiLevelType w:val="hybridMultilevel"/>
    <w:tmpl w:val="151080DA"/>
    <w:lvl w:ilvl="0" w:tplc="CA68A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ED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0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E3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29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28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6B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86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11491366">
    <w:abstractNumId w:val="3"/>
  </w:num>
  <w:num w:numId="2" w16cid:durableId="2007247615">
    <w:abstractNumId w:val="0"/>
  </w:num>
  <w:num w:numId="3" w16cid:durableId="1935356234">
    <w:abstractNumId w:val="2"/>
  </w:num>
  <w:num w:numId="4" w16cid:durableId="819156870">
    <w:abstractNumId w:val="4"/>
  </w:num>
  <w:num w:numId="5" w16cid:durableId="205409046">
    <w:abstractNumId w:val="5"/>
  </w:num>
  <w:num w:numId="6" w16cid:durableId="33627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DE"/>
    <w:rsid w:val="002E7BDE"/>
    <w:rsid w:val="00316860"/>
    <w:rsid w:val="00424155"/>
    <w:rsid w:val="0074564F"/>
    <w:rsid w:val="00A05B5F"/>
    <w:rsid w:val="00B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1411"/>
  <w15:chartTrackingRefBased/>
  <w15:docId w15:val="{1957D441-702D-4925-9196-A4B44822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B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5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B5F"/>
  </w:style>
  <w:style w:type="paragraph" w:styleId="Footer">
    <w:name w:val="footer"/>
    <w:basedOn w:val="Normal"/>
    <w:link w:val="FooterChar"/>
    <w:uiPriority w:val="99"/>
    <w:unhideWhenUsed/>
    <w:rsid w:val="00A05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4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8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41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8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4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3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PANDEY</dc:creator>
  <cp:keywords/>
  <dc:description/>
  <cp:lastModifiedBy>DAKSH PANDEY</cp:lastModifiedBy>
  <cp:revision>1</cp:revision>
  <dcterms:created xsi:type="dcterms:W3CDTF">2024-08-08T18:49:00Z</dcterms:created>
  <dcterms:modified xsi:type="dcterms:W3CDTF">2024-08-08T19:20:00Z</dcterms:modified>
</cp:coreProperties>
</file>