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E3A8A"/>
          <w:sz w:val="36"/>
          <w:szCs w:val="36"/>
        </w:rPr>
        <w:t xml:space="preserve">TASKMASTER POS &amp; BILLING ENGINE</w:t>
      </w:r>
    </w:p>
    <w:p>
      <w:pPr>
        <w:spacing w:after="300" w:before="50"/>
        <w:jc w:val="center"/>
      </w:pPr>
      <w:r>
        <w:rPr>
          <w:b/>
          <w:bCs/>
          <w:color w:val="0D9488"/>
          <w:sz w:val="26"/>
          <w:szCs w:val="26"/>
        </w:rPr>
        <w:t xml:space="preserve">INFORME TÉCNICO Y DOCUMENTACIÓN COMPLETA DE PRUEBAS UNITARIAS</w:t>
      </w:r>
    </w:p>
    <w:p>
      <w:pPr>
        <w:spacing w:after="150" w:before="100"/>
      </w:pPr>
      <w:r>
        <w:rPr>
          <w:b/>
          <w:bCs/>
        </w:rPr>
        <w:t xml:space="preserve">• Fecha del Reporte: </w:t>
      </w:r>
      <w:r>
        <w:t xml:space="preserve">Octubre 2026
</w:t>
      </w:r>
      <w:r>
        <w:rPr>
          <w:b/>
          <w:bCs/>
        </w:rPr>
        <w:t xml:space="preserve">• Arquitectura: </w:t>
      </w:r>
      <w:r>
        <w:t xml:space="preserve">Multi-Tenant Clean Architecture (Node.js + TypeScript)
</w:t>
      </w:r>
      <w:r>
        <w:rPr>
          <w:b/>
          <w:bCs/>
        </w:rPr>
        <w:t xml:space="preserve">• Framework de Pruebas: </w:t>
      </w:r>
      <w:r>
        <w:t xml:space="preserve">Vitest 5.0.3 con Supertest 7.3.0 y Mocks Deterministas
</w:t>
      </w:r>
      <w:r>
        <w:rPr>
          <w:b/>
          <w:bCs/>
        </w:rPr>
        <w:t xml:space="preserve">• Total de Pruebas Ejecutadas: </w:t>
      </w:r>
      <w:r>
        <w:rPr>
          <w:b/>
          <w:bCs/>
          <w:color w:val="059669"/>
        </w:rPr>
        <w:t xml:space="preserve">44 Pruebas (100% Exitosas / 0 Fallidas)
</w:t>
      </w:r>
      <w:r>
        <w:rPr>
          <w:b/>
          <w:bCs/>
        </w:rPr>
        <w:t xml:space="preserve">• Tiempo de Ejecución: </w:t>
      </w:r>
      <w:r>
        <w:t xml:space="preserve">~3.84 segundos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1. Aclaración Tecnológica: ¿Por qué NO se usó Firebase?</w:t>
      </w:r>
    </w:p>
    <w:p>
      <w:pPr>
        <w:spacing w:after="120"/>
      </w:pPr>
      <w:r>
        <w:t xml:space="preserve">Una pregunta frecuente en la arquitectura de software es si se utilizó Firebase (Firestore / Firebase Auth) para este proyecto. La respuesta técnica es </w:t>
      </w:r>
      <w:r>
        <w:rPr>
          <w:b/>
          <w:bCs/>
        </w:rPr>
        <w:t xml:space="preserve">NO, no se utilizó Firebase</w:t>
      </w:r>
      <w:r>
        <w:t xml:space="preserve">. Las razones técnicas y arquitectónicas son las siguientes:</w:t>
      </w:r>
    </w:p>
    <w:p>
      <w:pPr>
        <w:spacing w:after="80"/>
      </w:pPr>
      <w:r>
        <w:rPr>
          <w:b/>
          <w:bCs/>
          <w:color w:val="0F172A"/>
        </w:rPr>
        <w:t xml:space="preserve">a) Modelo Multi-Inquilino por Esquemas (Multi-Schema PostgreSQL): </w:t>
      </w:r>
      <w:r>
        <w:t xml:space="preserve">Firebase Firestore es una base de datos NoSQL documental con un modelo de seguridad basado en reglas de colección. TASKMASTER requería cumplimiento fiscal estricto (DIAN/SAT) con aislamiento por esquemas relacionales independientes (ej. "tenant_pasteleriatest", "tenant_tortasnacks"). Para esto se seleccionó PostgreSQL Serverless nativo (Neon DB) con transacciones ACID (BEGIN, COMMIT, ROLLBACK) que Firestore no ofrece de forma relacional pura.</w:t>
      </w:r>
    </w:p>
    <w:p>
      <w:pPr>
        <w:spacing w:after="80"/>
      </w:pPr>
      <w:r>
        <w:rPr>
          <w:b/>
          <w:bCs/>
          <w:color w:val="0F172A"/>
        </w:rPr>
        <w:t xml:space="preserve">b) Autenticación Soberana sin Dependencia de Vendor: </w:t>
      </w:r>
      <w:r>
        <w:t xml:space="preserve">En lugar de atar el sistema a Firebase Authentication, se implementó un motor de autenticación propio basado en JWT (JSON Web Tokens) criptográficamente firmados con algoritmo HMAC-SHA256 (jsonwebtoken 9.0) y hashing de contraseñas con salt de 10 rondas (bcryptjs 3.0). Esto permite que el backend sea 100% portable entre Vercel, Render, AWS o contenedores Docker sin costos por usuario activo.</w:t>
      </w:r>
    </w:p>
    <w:p>
      <w:pPr>
        <w:spacing w:after="150"/>
      </w:pPr>
      <w:r>
        <w:rPr>
          <w:b/>
          <w:bCs/>
          <w:color w:val="0F172A"/>
        </w:rPr>
        <w:t xml:space="preserve">c) Servicios Web SOAP/XML y Contratos WSDL: </w:t>
      </w:r>
      <w:r>
        <w:t xml:space="preserve">Firebase no tiene soporte nativo para protocolos empresariales heredados como SOAP 1.1 o generación de contratos WSDL. TASKMASTER expone endpoints SOAP (/ws/:tenantId) con validación estricta contra ataques XXE y generación dinámica de XML Schema.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2. Stack Tecnológico y Herramientas de Testing Utilizadas</w:t>
      </w:r>
    </w:p>
    <w:p>
      <w:pPr>
        <w:spacing w:after="80"/>
      </w:pPr>
      <w:r>
        <w:rPr>
          <w:b/>
          <w:bCs/>
        </w:rPr>
        <w:t xml:space="preserve">• Vitest 5.0.3 (Motor Principal): </w:t>
      </w:r>
      <w:r>
        <w:t xml:space="preserve">Test runner de alto rendimiento construido sobre Vite. Soporta módulos ES (ESM), TypeScript nativo sin compilación intermedia y ejecución concurrente en hilos de trabajo (worker threads aislados).</w:t>
      </w:r>
    </w:p>
    <w:p>
      <w:pPr>
        <w:spacing w:after="80"/>
      </w:pPr>
      <w:r>
        <w:rPr>
          <w:b/>
          <w:bCs/>
        </w:rPr>
        <w:t xml:space="preserve">• Supertest 7.3.0 (Pruebas de Integración HTTP): </w:t>
      </w:r>
      <w:r>
        <w:t xml:space="preserve">Librería para enviar peticiones HTTP virtuales (GET, POST, PATCH, DELETE, OPTIONS) directamente a la instancia Express sin levantar sockets TCP reales, acelerando drásticamente la suite.</w:t>
      </w:r>
    </w:p>
    <w:p>
      <w:pPr>
        <w:spacing w:after="80"/>
      </w:pPr>
      <w:r>
        <w:rPr>
          <w:b/>
          <w:bCs/>
        </w:rPr>
        <w:t xml:space="preserve">• Motor de Mocks Deterministas (vi): </w:t>
      </w:r>
      <w:r>
        <w:t xml:space="preserve">Mocks inteligentes en memoria sobre el driver de PostgreSQL (pg.Pool y pg.Client) y sobre localStorage. Esto permite que las 44 pruebas se ejecuten en 3.8 segundos sin depender de internet ni credenciales de base de datos.</w:t>
      </w:r>
    </w:p>
    <w:p>
      <w:pPr>
        <w:spacing w:after="80"/>
      </w:pPr>
      <w:r>
        <w:rPr>
          <w:b/>
          <w:bCs/>
        </w:rPr>
        <w:t xml:space="preserve">• Fast-XML-Parser 5.11.1 (Validación y Seguridad SOAP): </w:t>
      </w:r>
      <w:r>
        <w:t xml:space="preserve">Utilizado en pruebas de seguridad para certificar la mitigación de inyecciones XXE (XML External Entity), validación de sintaxis y parseo de envelopes SOAP.</w:t>
      </w:r>
    </w:p>
    <w:p>
      <w:pPr>
        <w:spacing w:after="150"/>
      </w:pPr>
      <w:r>
        <w:rPr>
          <w:b/>
          <w:bCs/>
        </w:rPr>
        <w:t xml:space="preserve">• TypeScript 7.0 / Tsx / Node.js 20+: </w:t>
      </w:r>
      <w:r>
        <w:t xml:space="preserve">Garantiza tipado estático estricto, interfaces de datos (AuthenticatedRequest, TenantContext) y detección de errores de tipo en tiempo de desarrollo.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3. Catálogo y Especificación de las 44 Pruebas Unitarias</w:t>
      </w:r>
    </w:p>
    <w:p>
      <w:pPr>
        <w:spacing w:after="120"/>
      </w:pPr>
      <w:r>
        <w:rPr>
          <w:i/>
          <w:iCs/>
        </w:rPr>
        <w:t xml:space="preserve">La suite está dividida en 9 bloques funcionales independientes para garantizar cobertura total de la arquitectura: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A: Autenticación y Autorización JWT (6 pruebas)</w:t>
      </w:r>
    </w:p>
    <w:p>
      <w:pPr>
        <w:spacing w:after="60"/>
      </w:pPr>
      <w:r>
        <w:rPr>
          <w:b/>
          <w:bCs/>
        </w:rPr>
        <w:t xml:space="preserve">1. signJwt Generación Íntegra: </w:t>
      </w:r>
      <w:r>
        <w:t xml:space="preserve">Verifica la emisión de JWT con claims correctos (userId, email, role, tenantId).</w:t>
      </w:r>
    </w:p>
    <w:p>
      <w:pPr>
        <w:spacing w:after="60"/>
      </w:pPr>
      <w:r>
        <w:rPr>
          <w:b/>
          <w:bCs/>
        </w:rPr>
        <w:t xml:space="preserve">2. authenticateJwt Paso Exitoso: </w:t>
      </w:r>
      <w:r>
        <w:t xml:space="preserve">Permite el paso (next()) y adjunta req.user ante un token Bearer legítimo.</w:t>
      </w:r>
    </w:p>
    <w:p>
      <w:pPr>
        <w:spacing w:after="60"/>
      </w:pPr>
      <w:r>
        <w:rPr>
          <w:b/>
          <w:bCs/>
        </w:rPr>
        <w:t xml:space="preserve">3. authenticateJwt Token Faltante (401): </w:t>
      </w:r>
      <w:r>
        <w:t xml:space="preserve">Bloquea peticiones sin encabezado Authorization con código HTTP 401.</w:t>
      </w:r>
    </w:p>
    <w:p>
      <w:pPr>
        <w:spacing w:after="60"/>
      </w:pPr>
      <w:r>
        <w:rPr>
          <w:b/>
          <w:bCs/>
        </w:rPr>
        <w:t xml:space="preserve">4. authenticateJwt Formato Inválido (401): </w:t>
      </w:r>
      <w:r>
        <w:t xml:space="preserve">Rechaza cabeceras con esquemas no Bearer (ej. Basic) exigiendo el formato correcto.</w:t>
      </w:r>
    </w:p>
    <w:p>
      <w:pPr>
        <w:spacing w:after="60"/>
      </w:pPr>
      <w:r>
        <w:rPr>
          <w:b/>
          <w:bCs/>
        </w:rPr>
        <w:t xml:space="preserve">5. authenticateJwt Firma Manipulada (403): </w:t>
      </w:r>
      <w:r>
        <w:t xml:space="preserve">Detecta tokens manipulados o firmados con otra clave secreta respondiendo 403.</w:t>
      </w:r>
    </w:p>
    <w:p>
      <w:pPr>
        <w:spacing w:after="120"/>
      </w:pPr>
      <w:r>
        <w:rPr>
          <w:b/>
          <w:bCs/>
        </w:rPr>
        <w:t xml:space="preserve">6. authenticateJwt Expiración Temporal (401): </w:t>
      </w:r>
      <w:r>
        <w:t xml:space="preserve">Detecta tokens caducados (TokenExpiredError) respondiendo 401 con mensaje de expiración.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B: Resolución Multi-Inquilino (5 pruebas)</w:t>
      </w:r>
    </w:p>
    <w:p>
      <w:pPr>
        <w:spacing w:after="60"/>
      </w:pPr>
      <w:r>
        <w:rPr>
          <w:b/>
          <w:bCs/>
        </w:rPr>
        <w:t xml:space="preserve">7. Resolución por Parámetro de Ruta: </w:t>
      </w:r>
      <w:r>
        <w:t xml:space="preserve">Resuelve el tenant mediante la URL /ws/:tenantId y lo inyecta en req.tenant.</w:t>
      </w:r>
    </w:p>
    <w:p>
      <w:pPr>
        <w:spacing w:after="60"/>
      </w:pPr>
      <w:r>
        <w:rPr>
          <w:b/>
          <w:bCs/>
        </w:rPr>
        <w:t xml:space="preserve">8. Resolución por Encabezado HTTP: </w:t>
      </w:r>
      <w:r>
        <w:t xml:space="preserve">Detecta el tenant mediante la cabecera x-tenant-id enviada por clientes API.</w:t>
      </w:r>
    </w:p>
    <w:p>
      <w:pPr>
        <w:spacing w:after="60"/>
      </w:pPr>
      <w:r>
        <w:rPr>
          <w:b/>
          <w:bCs/>
        </w:rPr>
        <w:t xml:space="preserve">9. Resolución por Subdominio DNS: </w:t>
      </w:r>
      <w:r>
        <w:t xml:space="preserve">Extrae el identificador desde el header Host (ej. pasteleria.taskmaster.com).</w:t>
      </w:r>
    </w:p>
    <w:p>
      <w:pPr>
        <w:spacing w:after="60"/>
      </w:pPr>
      <w:r>
        <w:rPr>
          <w:b/>
          <w:bCs/>
        </w:rPr>
        <w:t xml:space="preserve">10. Identificador Faltante (404 SOAP Fault): </w:t>
      </w:r>
      <w:r>
        <w:t xml:space="preserve">Responde un &lt;soap:Fault&gt; con código soap:Client ante la falta de identificador.</w:t>
      </w:r>
    </w:p>
    <w:p>
      <w:pPr>
        <w:spacing w:after="120"/>
      </w:pPr>
      <w:r>
        <w:rPr>
          <w:b/>
          <w:bCs/>
        </w:rPr>
        <w:t xml:space="preserve">11. Tenant No Encontrado (404 SOAP Fault): </w:t>
      </w:r>
      <w:r>
        <w:t xml:space="preserve">Emite un &lt;soap:Fault&gt; 404 informando que el negocio consultado no existe.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C: Generador de Contratos WSDL 1.1 (4 pruebas)</w:t>
      </w:r>
    </w:p>
    <w:p>
      <w:pPr>
        <w:spacing w:after="60"/>
      </w:pPr>
      <w:r>
        <w:rPr>
          <w:b/>
          <w:bCs/>
        </w:rPr>
        <w:t xml:space="preserve">12. Estructura XML y Namespaces WSDL: </w:t>
      </w:r>
      <w:r>
        <w:t xml:space="preserve">Comprueba el nodo raíz &lt;definitions&gt; y los esquemas oficiales WSDL y SOAP.</w:t>
      </w:r>
    </w:p>
    <w:p>
      <w:pPr>
        <w:spacing w:after="60"/>
      </w:pPr>
      <w:r>
        <w:rPr>
          <w:b/>
          <w:bCs/>
        </w:rPr>
        <w:t xml:space="preserve">13. Aislamiento de Namespaces por Tenant: </w:t>
      </w:r>
      <w:r>
        <w:t xml:space="preserve">Valida que targetNamespace y schemaNamespace contengan el slug único del comercio.</w:t>
      </w:r>
    </w:p>
    <w:p>
      <w:pPr>
        <w:spacing w:after="60"/>
      </w:pPr>
      <w:r>
        <w:rPr>
          <w:b/>
          <w:bCs/>
        </w:rPr>
        <w:t xml:space="preserve">14. Esquema de Datos Fiscales XSD: </w:t>
      </w:r>
      <w:r>
        <w:t xml:space="preserve">Verifica la definición de subtotal, impuestos, total, folio_fiscal y estado.</w:t>
      </w:r>
    </w:p>
    <w:p>
      <w:pPr>
        <w:spacing w:after="120"/>
      </w:pPr>
      <w:r>
        <w:rPr>
          <w:b/>
          <w:bCs/>
        </w:rPr>
        <w:t xml:space="preserve">15. Binding Document/Literal y Endpoint Location: </w:t>
      </w:r>
      <w:r>
        <w:t xml:space="preserve">Garantiza el binding SOAP 1.1 y la URL absoluta en soap:address location.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D: Caché L1 en Memoria con TTL (4 pruebas)</w:t>
      </w:r>
    </w:p>
    <w:p>
      <w:pPr>
        <w:spacing w:after="60"/>
      </w:pPr>
      <w:r>
        <w:rPr>
          <w:b/>
          <w:bCs/>
        </w:rPr>
        <w:t xml:space="preserve">16. Almacenamiento y Lectura Clave-Valor: </w:t>
      </w:r>
      <w:r>
        <w:t xml:space="preserve">Comprueba el ciclo setCache y getCache con objetos complejos sin degradación.</w:t>
      </w:r>
    </w:p>
    <w:p>
      <w:pPr>
        <w:spacing w:after="60"/>
      </w:pPr>
      <w:r>
        <w:rPr>
          <w:b/>
          <w:bCs/>
        </w:rPr>
        <w:t xml:space="preserve">17. Clave Inexistente Segura: </w:t>
      </w:r>
      <w:r>
        <w:t xml:space="preserve">Verifica el retorno de null ante claves no presentes en caché.</w:t>
      </w:r>
    </w:p>
    <w:p>
      <w:pPr>
        <w:spacing w:after="60"/>
      </w:pPr>
      <w:r>
        <w:rPr>
          <w:b/>
          <w:bCs/>
        </w:rPr>
        <w:t xml:space="preserve">18. Expiración Automática por TTL: </w:t>
      </w:r>
      <w:r>
        <w:t xml:space="preserve">Comprueba que una clave caducada sea purgada de memoria y retorne null.</w:t>
      </w:r>
    </w:p>
    <w:p>
      <w:pPr>
        <w:spacing w:after="120"/>
      </w:pPr>
      <w:r>
        <w:rPr>
          <w:b/>
          <w:bCs/>
        </w:rPr>
        <w:t xml:space="preserve">19. Invalidación Selectiva (deleteCache): </w:t>
      </w:r>
      <w:r>
        <w:t xml:space="preserve">Valida la eliminación inmediata de claves ante mutaciones en la base de datos.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E: Catálogos e Inicialización Comercial (3 pruebas)</w:t>
      </w:r>
    </w:p>
    <w:p>
      <w:pPr>
        <w:spacing w:after="60"/>
      </w:pPr>
      <w:r>
        <w:rPr>
          <w:b/>
          <w:bCs/>
        </w:rPr>
        <w:t xml:space="preserve">20. Coincidencia Inteligente por Rubro: </w:t>
      </w:r>
      <w:r>
        <w:t xml:space="preserve">Entrega inventario para Farmacia, Restaurante, Boutique o Minimarket.</w:t>
      </w:r>
    </w:p>
    <w:p>
      <w:pPr>
        <w:spacing w:after="60"/>
      </w:pPr>
      <w:r>
        <w:rPr>
          <w:b/>
          <w:bCs/>
        </w:rPr>
        <w:t xml:space="preserve">21. Fallback Seguro: </w:t>
      </w:r>
      <w:r>
        <w:t xml:space="preserve">Asigna el catálogo por defecto ante rubros vacíos o no mapeados.</w:t>
      </w:r>
    </w:p>
    <w:p>
      <w:pPr>
        <w:spacing w:after="120"/>
      </w:pPr>
      <w:r>
        <w:rPr>
          <w:b/>
          <w:bCs/>
        </w:rPr>
        <w:t xml:space="preserve">22. Integridad de Atributos de Producto: </w:t>
      </w:r>
      <w:r>
        <w:t xml:space="preserve">Certifica que todos los productos tengan nombre, precio &gt; 0, stock &gt;= 10 y emoji.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F: Resiliencia de Ventas Fuera de Línea (4 pruebas)</w:t>
      </w:r>
    </w:p>
    <w:p>
      <w:pPr>
        <w:spacing w:after="60"/>
      </w:pPr>
      <w:r>
        <w:rPr>
          <w:b/>
          <w:bCs/>
        </w:rPr>
        <w:t xml:space="preserve">23. Encolamiento y Folio Temporal: </w:t>
      </w:r>
      <w:r>
        <w:t xml:space="preserve">Almacena la orden en local y le asigna folio temporal REC-OFF-xxxx.</w:t>
      </w:r>
    </w:p>
    <w:p>
      <w:pPr>
        <w:spacing w:after="60"/>
      </w:pPr>
      <w:r>
        <w:rPr>
          <w:b/>
          <w:bCs/>
        </w:rPr>
        <w:t xml:space="preserve">24. Aislamiento por Tenant: </w:t>
      </w:r>
      <w:r>
        <w:t xml:space="preserve">Permite filtrar únicamente las ventas del comercio autenticado.</w:t>
      </w:r>
    </w:p>
    <w:p>
      <w:pPr>
        <w:spacing w:after="60"/>
      </w:pPr>
      <w:r>
        <w:rPr>
          <w:b/>
          <w:bCs/>
        </w:rPr>
        <w:t xml:space="preserve">25. Desencolamiento Selectivo: </w:t>
      </w:r>
      <w:r>
        <w:t xml:space="preserve">Remueve individualmente cada factura confirmada por el servidor.</w:t>
      </w:r>
    </w:p>
    <w:p>
      <w:pPr>
        <w:spacing w:after="120"/>
      </w:pPr>
      <w:r>
        <w:rPr>
          <w:b/>
          <w:bCs/>
        </w:rPr>
        <w:t xml:space="preserve">26. Sincronización en Lote (syncOfflineQueue): </w:t>
      </w:r>
      <w:r>
        <w:t xml:space="preserve">Procesa todas las órdenes en cola y limpia el almacenamiento local al recuperar red.</w:t>
      </w:r>
    </w:p>
    <w:p>
      <w:pPr>
        <w:pStyle w:val="Heading2"/>
        <w:spacing w:after="80" w:before="180"/>
      </w:pPr>
      <w:r>
        <w:rPr>
          <w:b/>
          <w:bCs/>
          <w:color w:val="0D9488"/>
        </w:rPr>
        <w:t xml:space="preserve">Bloque G, H e I: Seguridad SOAP, Content-Negotiation y Endpoints Core (18 pruebas)</w:t>
      </w:r>
    </w:p>
    <w:p>
      <w:pPr>
        <w:spacing w:after="60"/>
      </w:pPr>
      <w:r>
        <w:rPr>
          <w:b/>
          <w:bCs/>
        </w:rPr>
        <w:t xml:space="preserve">27-29. Seguridad SOAP &amp; XXE: </w:t>
      </w:r>
      <w:r>
        <w:t xml:space="preserve">Rechazo de cargas vacías (400), bloqueo estricto de inyecciones DOCTYPE/ENTITY XXE y deserialización de peticiones legítimas.</w:t>
      </w:r>
    </w:p>
    <w:p>
      <w:pPr>
        <w:spacing w:after="60"/>
      </w:pPr>
      <w:r>
        <w:rPr>
          <w:b/>
          <w:bCs/>
        </w:rPr>
        <w:t xml:space="preserve">30-31. Content-Negotiation de Errores: </w:t>
      </w:r>
      <w:r>
        <w:t xml:space="preserve">Respuestas JSON estructuradas ante fallos en /api y respuestas XML SOAP Fault ante fallos en /ws.</w:t>
      </w:r>
    </w:p>
    <w:p>
      <w:pPr>
        <w:spacing w:after="150"/>
      </w:pPr>
      <w:r>
        <w:rPr>
          <w:b/>
          <w:bCs/>
        </w:rPr>
        <w:t xml:space="preserve">32-44. Endpoints Core HTTP: </w:t>
      </w:r>
      <w:r>
        <w:t xml:space="preserve">Verificación completa de GET /api, GET /health, GET /api/logs/summary, GET /api/tenants, GET /ws/:id (WSDL), POST /ws/:id (SOAP), POST /api/auth/login, GET /api/auth/me, productos, inventario, facturación paginada y métricas financieras.</w:t>
      </w:r>
    </w:p>
    <w:p>
      <w:pPr>
        <w:pStyle w:val="Heading1"/>
        <w:spacing w:after="150" w:before="300"/>
      </w:pPr>
      <w:r>
        <w:rPr>
          <w:b/>
          <w:bCs/>
          <w:color w:val="1E3A8A"/>
        </w:rPr>
        <w:t xml:space="preserve">4. Matriz de Resumen y Cobertura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Módulo / Capa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Archivo de Prueba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Pruebas</w:t>
            </w:r>
          </w:p>
        </w:tc>
        <w:tc>
          <w:tcPr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p>
            <w:r>
              <w:t xml:space="preserve">Autenticación &amp; JWT</w:t>
            </w:r>
          </w:p>
        </w:tc>
        <w:tc>
          <w:p>
            <w:r>
              <w:t xml:space="preserve">tests/unit/auth.test.ts</w:t>
            </w:r>
          </w:p>
        </w:tc>
        <w:tc>
          <w:p>
            <w:r>
              <w:t xml:space="preserve">6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Resolución Multi-Tenant</w:t>
            </w:r>
          </w:p>
        </w:tc>
        <w:tc>
          <w:p>
            <w:r>
              <w:t xml:space="preserve">tests/unit/tenantResolver.test.ts</w:t>
            </w:r>
          </w:p>
        </w:tc>
        <w:tc>
          <w:p>
            <w:r>
              <w:t xml:space="preserve">5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Generador WSDL SOAP 1.1</w:t>
            </w:r>
          </w:p>
        </w:tc>
        <w:tc>
          <w:p>
            <w:r>
              <w:t xml:space="preserve">tests/unit/wsdlGenerator.test.ts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Caché en Memoria L1</w:t>
            </w:r>
          </w:p>
        </w:tc>
        <w:tc>
          <w:p>
            <w:r>
              <w:t xml:space="preserve">tests/unit/cacheService.test.ts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Catálogos por Rubro</w:t>
            </w:r>
          </w:p>
        </w:tc>
        <w:tc>
          <w:p>
            <w:r>
              <w:t xml:space="preserve">tests/unit/defaultProducts.test.ts</w:t>
            </w:r>
          </w:p>
        </w:tc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Resiliencia Offline</w:t>
            </w:r>
          </w:p>
        </w:tc>
        <w:tc>
          <w:p>
            <w:r>
              <w:t xml:space="preserve">tests/unit/offlineQueue.test.ts</w:t>
            </w:r>
          </w:p>
        </w:tc>
        <w:tc>
          <w:p>
            <w:r>
              <w:t xml:space="preserve">4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Seguridad SOAP &amp; XXE</w:t>
            </w:r>
          </w:p>
        </w:tc>
        <w:tc>
          <w:p>
            <w:r>
              <w:t xml:space="preserve">tests/soapSecurity.test.ts</w:t>
            </w:r>
          </w:p>
        </w:tc>
        <w:tc>
          <w:p>
            <w:r>
              <w:t xml:space="preserve">3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Content-Negotiation</w:t>
            </w:r>
          </w:p>
        </w:tc>
        <w:tc>
          <w:p>
            <w:r>
              <w:t xml:space="preserve">tests/errorHandler.test.ts</w:t>
            </w:r>
          </w:p>
        </w:tc>
        <w:tc>
          <w:p>
            <w:r>
              <w:t xml:space="preserve">2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p>
            <w:r>
              <w:t xml:space="preserve">Endpoints Core API</w:t>
            </w:r>
          </w:p>
        </w:tc>
        <w:tc>
          <w:p>
            <w:r>
              <w:t xml:space="preserve">tests/apiEndpoints.test.ts</w:t>
            </w:r>
          </w:p>
        </w:tc>
        <w:tc>
          <w:p>
            <w:r>
              <w:t xml:space="preserve">13</w:t>
            </w:r>
          </w:p>
        </w:tc>
        <w:tc>
          <w:p>
            <w:r>
              <w:rPr>
                <w:b/>
                <w:bCs/>
                <w:color w:val="059669"/>
              </w:rPr>
              <w:t xml:space="preserve">100% PASS</w:t>
            </w:r>
          </w:p>
        </w:tc>
      </w:tr>
      <w:tr>
        <w:tc>
          <w:tcPr>
            <w:shd w:fill="F1F5F9" w:val="clear"/>
          </w:tcPr>
          <w:p>
            <w:r>
              <w:rPr>
                <w:b/>
                <w:bCs/>
              </w:rPr>
              <w:t xml:space="preserve">TOTAL CERTIFICADO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9 Archivos de Prueba</w:t>
            </w:r>
          </w:p>
        </w:tc>
        <w:tc>
          <w:tcPr>
            <w:shd w:fill="F1F5F9" w:val="clear"/>
          </w:tcPr>
          <w:p>
            <w:r>
              <w:rPr>
                <w:b/>
                <w:bCs/>
              </w:rPr>
              <w:t xml:space="preserve">44</w:t>
            </w:r>
          </w:p>
        </w:tc>
        <w:tc>
          <w:tcPr>
            <w:shd w:fill="D1FAE5" w:val="clear"/>
          </w:tcPr>
          <w:p>
            <w:r>
              <w:rPr>
                <w:b/>
                <w:bCs/>
                <w:color w:val="065F46"/>
              </w:rPr>
              <w:t xml:space="preserve">100% EXITOSO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</w:rPr>
        <w:t xml:space="preserve">5. Guía Rápida de Comandos para el Desarrollador</w:t>
      </w:r>
    </w:p>
    <w:p>
      <w:pPr>
        <w:spacing w:after="60"/>
      </w:pPr>
      <w:r>
        <w:rPr>
          <w:b/>
          <w:bCs/>
        </w:rPr>
        <w:t xml:space="preserve">• Ejecutar toda la suite: </w:t>
      </w:r>
      <w:r>
        <w:rPr>
          <w:i/>
          <w:iCs/>
        </w:rPr>
        <w:t xml:space="preserve">npm test</w:t>
      </w:r>
    </w:p>
    <w:p>
      <w:pPr>
        <w:spacing w:after="60"/>
      </w:pPr>
      <w:r>
        <w:rPr>
          <w:b/>
          <w:bCs/>
        </w:rPr>
        <w:t xml:space="preserve">• Modo desarrollo con recarga en vivo: </w:t>
      </w:r>
      <w:r>
        <w:rPr>
          <w:i/>
          <w:iCs/>
        </w:rPr>
        <w:t xml:space="preserve">npx vitest</w:t>
      </w:r>
    </w:p>
    <w:p>
      <w:pPr>
        <w:spacing w:after="60"/>
      </w:pPr>
      <w:r>
        <w:rPr>
          <w:b/>
          <w:bCs/>
        </w:rPr>
        <w:t xml:space="preserve">• Ejecutar un módulo específico: </w:t>
      </w:r>
      <w:r>
        <w:rPr>
          <w:i/>
          <w:iCs/>
        </w:rPr>
        <w:t xml:space="preserve">npx vitest run tests/unit/auth.test.ts</w:t>
      </w:r>
    </w:p>
    <w:p>
      <w:pPr>
        <w:spacing w:after="150"/>
      </w:pPr>
      <w:r>
        <w:rPr>
          <w:b/>
          <w:bCs/>
        </w:rPr>
        <w:t xml:space="preserve">• Generar reporte visual de cobertura: </w:t>
      </w:r>
      <w:r>
        <w:rPr>
          <w:i/>
          <w:iCs/>
        </w:rPr>
        <w:t xml:space="preserve">npx vitest run --coverage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2026-10-29T18:39:08.232Z</dcterms:created>
  <dcterms:modified xsi:type="dcterms:W3CDTF">2026-10-29T18:39:08.232Z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