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Body sentence NEEDLE-FIG-BODY carries the argument.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360045" cy="360045"/>
            <wp:effectExtent l="0" t="0" r="0" b="0"/>
            <wp:docPr id="1" name="fig1" descr="NEEDLE-FIG-DESC the figure caption says this." title="NEEDLE-FIG-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 descr="NEEDLE-FIG-DESC the figure caption says this." title="NEEDLE-FIG-TITL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  <w:t>Closing sentence NEEDLE-FIG-TAIL.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