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Rapport trimestriel d'ingestion</w:t>
      </w:r>
    </w:p>
    <w:p>
      <w:r>
        <w:t>NEEDLE-FR-A1 — débit élevé.</w:t>
      </w:r>
    </w:p>
    <w:tbl>
      <w:tr>
        <w:tc>
          <w:p>
            <w:r>
              <w:t>Région</w:t>
            </w:r>
          </w:p>
        </w:tc>
        <w:tc>
          <w:p>
            <w:r>
              <w:t>Ingestion</w:t>
            </w:r>
          </w:p>
        </w:tc>
        <w:tc>
          <w:p>
            <w:r>
              <w:t>Erreurs</w:t>
            </w:r>
          </w:p>
        </w:tc>
        <w:tc>
          <w:p>
            <w:r>
              <w:t>Reprises</w:t>
            </w:r>
          </w:p>
        </w:tc>
      </w:tr>
      <w:tr>
        <w:tc>
          <w:p>
            <w:r>
              <w:t>NEEDLE N02</w:t>
            </w:r>
          </w:p>
        </w:tc>
        <w:tc>
          <w:p>
            <w:r>
              <w:t>flux</w:t>
            </w:r>
          </w:p>
        </w:tc>
        <w:tc>
          <w:p>
            <w:r>
              <w:t>1024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APAC</w:t>
            </w:r>
          </w:p>
        </w:tc>
        <w:tc>
          <w:p>
            <w:r>
              <w:t>lot</w:t>
            </w:r>
          </w:p>
        </w:tc>
        <w:tc>
          <w:p>
            <w:r>
              <w:t>9</w:t>
            </w:r>
          </w:p>
        </w:tc>
        <w:tc>
          <w:p>
            <w:r>
              <w:t>2</w:t>
            </w:r>
          </w:p>
        </w:tc>
      </w:tr>
    </w:tbl>
    <w:p>
      <w:r>
        <w:t>NEEDLE-FR-A1</w:t>
      </w:r>
    </w:p>
  </w:body>
</w:document>
</file>