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Body sentence NEEDLE-TB-BODY carries the argument.</w:t>
      </w:r>
    </w:p>
    <w:p>
      <w:pPr>
        <w:pStyle w:val="Normal"/>
        <w:bidi w:val="0"/>
        <w:jc w:val="start"/>
        <w:rPr/>
      </w:pPr>
      <w:r>
        <w:rPr/>
      </w:r>
      <w:r>
        <mc:AlternateContent>
          <mc:Choice Requires="wps">
            <w:drawing>
              <wp:anchor distT="72390" distB="72390" distL="72390" distR="7239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879725" cy="720090"/>
                <wp:effectExtent l="0" t="0" r="0" b="0"/>
                <wp:wrapSquare wrapText="bothSides"/>
                <wp:docPr id="1" name="cadr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NEEDLE-TB-INSIDE the callout says this.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226.75pt;height:56.7pt;mso-wrap-distance-left:5.7pt;mso-wrap-distance-right:5.7pt;mso-wrap-distance-top:5.7pt;mso-wrap-distance-bottom:5.7pt;margin-top:5.7pt;mso-position-vertical:top;mso-position-vertical-relative:text;margin-left:127.6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NEEDLE-TB-INSIDE the callout says this.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>Closing sentence NEEDLE-TB-TAIL.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