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</w:pPr>
      <w:r>
        <w:rPr>
          <w:rFonts w:ascii="Aptos Display" w:hAnsi="Aptos Display" w:eastAsia="Aptos Display"/>
          <w:b/>
          <w:color w:val="102A43"/>
          <w:sz w:val="29"/>
        </w:rPr>
        <w:t>The fifteen behaviors that should define the DACFP learner experience</w:t>
      </w:r>
    </w:p>
    <w:p>
      <w:pPr>
        <w:spacing w:after="60"/>
      </w:pPr>
      <w:r>
        <w:rPr>
          <w:rFonts w:ascii="Aptos" w:hAnsi="Aptos" w:eastAsia="Aptos"/>
          <w:b/>
          <w:color w:val="045D65"/>
          <w:sz w:val="15"/>
        </w:rPr>
        <w:t>Decision: build a visible trust system around one dominant Start/Resume action and three separate outcomes—course complete, credential current, and CE reported.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"/>
        <w:gridCol w:w="2779"/>
        <w:gridCol w:w="7128"/>
      </w:tblGrid>
      <w:tr>
        <w:trPr>
          <w:cantSplit/>
        </w:trPr>
        <w:tc>
          <w:tcPr>
            <w:tcW w:type="dxa" w:w="489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  <w:shd w:fill="E5F5F5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045D65"/>
                <w:sz w:val="14"/>
              </w:rPr>
              <w:t>1</w:t>
            </w:r>
          </w:p>
        </w:tc>
        <w:tc>
          <w:tcPr>
            <w:tcW w:type="dxa" w:w="2779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02A43"/>
                <w:sz w:val="15"/>
              </w:rPr>
              <w:t>Completion cascade with separate states</w:t>
            </w:r>
            <w:r>
              <w:rPr>
                <w:rFonts w:ascii="Aptos" w:hAnsi="Aptos" w:eastAsia="Aptos"/>
                <w:b/>
                <w:color w:val="045D65"/>
                <w:sz w:val="11"/>
              </w:rPr>
              <w:t xml:space="preserve">  DIRECT</w:t>
            </w:r>
          </w:p>
        </w:tc>
        <w:tc>
          <w:tcPr>
            <w:tcW w:type="dxa" w:w="7128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243B53"/>
                <w:sz w:val="14"/>
              </w:rPr>
              <w:t xml:space="preserve">Show a four-row status tracker: Course complete; CBDA credential issued/current; CE submitted to each body; CE confirmed/expected by date, with timestamps and explanations. </w:t>
            </w:r>
            <w:r>
              <w:rPr>
                <w:rFonts w:ascii="Aptos" w:hAnsi="Aptos" w:eastAsia="Aptos"/>
                <w:i/>
                <w:color w:val="52667A"/>
                <w:sz w:val="14"/>
              </w:rPr>
              <w:t xml:space="preserve">Eliminates the dangerous false equivalence between finishing the course, holding a current credential, and having CE posted. </w:t>
            </w:r>
            <w:hyperlink r:id="rId11">
              <w:r>
                <w:rPr>
                  <w:color w:val="045D65"/>
                </w:rPr>
                <w:t>S34</w:t>
              </w:r>
            </w:hyperlink>
            <w:r>
              <w:rPr>
                <w:rFonts w:ascii="Aptos" w:hAnsi="Aptos" w:eastAsia="Aptos"/>
                <w:color w:val="829AB1"/>
                <w:sz w:val="12"/>
              </w:rPr>
              <w:t>·</w:t>
            </w:r>
            <w:hyperlink r:id="rId12">
              <w:r>
                <w:rPr>
                  <w:color w:val="045D65"/>
                </w:rPr>
                <w:t>S35</w:t>
              </w:r>
            </w:hyperlink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"/>
        <w:gridCol w:w="2779"/>
        <w:gridCol w:w="7128"/>
      </w:tblGrid>
      <w:tr>
        <w:trPr>
          <w:cantSplit/>
        </w:trPr>
        <w:tc>
          <w:tcPr>
            <w:tcW w:type="dxa" w:w="489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  <w:shd w:fill="E5F5F5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045D65"/>
                <w:sz w:val="14"/>
              </w:rPr>
              <w:t>2</w:t>
            </w:r>
          </w:p>
        </w:tc>
        <w:tc>
          <w:tcPr>
            <w:tcW w:type="dxa" w:w="2779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02A43"/>
                <w:sz w:val="15"/>
              </w:rPr>
              <w:t>Plain-language completion contract</w:t>
            </w:r>
            <w:r>
              <w:rPr>
                <w:rFonts w:ascii="Aptos" w:hAnsi="Aptos" w:eastAsia="Aptos"/>
                <w:b/>
                <w:color w:val="045D65"/>
                <w:sz w:val="11"/>
              </w:rPr>
              <w:t xml:space="preserve">  DIRECT</w:t>
            </w:r>
          </w:p>
        </w:tc>
        <w:tc>
          <w:tcPr>
            <w:tcW w:type="dxa" w:w="7128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243B53"/>
                <w:sz w:val="14"/>
              </w:rPr>
              <w:t xml:space="preserve">Show a compact 'How you earn the CBDA' card: complete 14 modules, pass each 10-question quiz at 70%, unlimited attempts, no final exam, then receive credential and CE follow-through. </w:t>
            </w:r>
            <w:r>
              <w:rPr>
                <w:rFonts w:ascii="Aptos" w:hAnsi="Aptos" w:eastAsia="Aptos"/>
                <w:i/>
                <w:color w:val="52667A"/>
                <w:sz w:val="14"/>
              </w:rPr>
              <w:t xml:space="preserve">A copy-only intervention prevents learners from inventing their own definition of complete. </w:t>
            </w:r>
            <w:hyperlink r:id="rId13">
              <w:r>
                <w:rPr>
                  <w:color w:val="045D65"/>
                </w:rPr>
                <w:t>S10</w:t>
              </w:r>
            </w:hyperlink>
            <w:r>
              <w:rPr>
                <w:rFonts w:ascii="Aptos" w:hAnsi="Aptos" w:eastAsia="Aptos"/>
                <w:color w:val="829AB1"/>
                <w:sz w:val="12"/>
              </w:rPr>
              <w:t>·</w:t>
            </w:r>
            <w:hyperlink r:id="rId14">
              <w:r>
                <w:rPr>
                  <w:color w:val="045D65"/>
                </w:rPr>
                <w:t>S05</w:t>
              </w:r>
            </w:hyperlink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"/>
        <w:gridCol w:w="2779"/>
        <w:gridCol w:w="7128"/>
      </w:tblGrid>
      <w:tr>
        <w:trPr>
          <w:cantSplit/>
        </w:trPr>
        <w:tc>
          <w:tcPr>
            <w:tcW w:type="dxa" w:w="489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  <w:shd w:fill="E5F5F5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045D65"/>
                <w:sz w:val="14"/>
              </w:rPr>
              <w:t>3</w:t>
            </w:r>
          </w:p>
        </w:tc>
        <w:tc>
          <w:tcPr>
            <w:tcW w:type="dxa" w:w="2779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02A43"/>
                <w:sz w:val="15"/>
              </w:rPr>
              <w:t>Single dominant Start or Resume action</w:t>
            </w:r>
            <w:r>
              <w:rPr>
                <w:rFonts w:ascii="Aptos" w:hAnsi="Aptos" w:eastAsia="Aptos"/>
                <w:b/>
                <w:color w:val="045D65"/>
                <w:sz w:val="11"/>
              </w:rPr>
              <w:t xml:space="preserve">  DIRECT</w:t>
            </w:r>
          </w:p>
        </w:tc>
        <w:tc>
          <w:tcPr>
            <w:tcW w:type="dxa" w:w="7128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243B53"/>
                <w:sz w:val="14"/>
              </w:rPr>
              <w:t xml:space="preserve">Make the primary dashboard action 'Start Module 1' for new learners and 'Resume Module X at mm:ss' for returners. </w:t>
            </w:r>
            <w:r>
              <w:rPr>
                <w:rFonts w:ascii="Aptos" w:hAnsi="Aptos" w:eastAsia="Aptos"/>
                <w:i/>
                <w:color w:val="52667A"/>
                <w:sz w:val="14"/>
              </w:rPr>
              <w:t xml:space="preserve">One dominant action removes navigation work on every visit, especially on phones. </w:t>
            </w:r>
            <w:hyperlink r:id="rId15">
              <w:r>
                <w:rPr>
                  <w:color w:val="045D65"/>
                </w:rPr>
                <w:t>S04</w:t>
              </w:r>
            </w:hyperlink>
            <w:r>
              <w:rPr>
                <w:rFonts w:ascii="Aptos" w:hAnsi="Aptos" w:eastAsia="Aptos"/>
                <w:color w:val="829AB1"/>
                <w:sz w:val="12"/>
              </w:rPr>
              <w:t>·</w:t>
            </w:r>
            <w:hyperlink r:id="rId16">
              <w:r>
                <w:rPr>
                  <w:color w:val="045D65"/>
                </w:rPr>
                <w:t>S15</w:t>
              </w:r>
            </w:hyperlink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"/>
        <w:gridCol w:w="2779"/>
        <w:gridCol w:w="7128"/>
      </w:tblGrid>
      <w:tr>
        <w:trPr>
          <w:cantSplit/>
        </w:trPr>
        <w:tc>
          <w:tcPr>
            <w:tcW w:type="dxa" w:w="489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  <w:shd w:fill="E5F5F5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045D65"/>
                <w:sz w:val="14"/>
              </w:rPr>
              <w:t>4</w:t>
            </w:r>
          </w:p>
        </w:tc>
        <w:tc>
          <w:tcPr>
            <w:tcW w:type="dxa" w:w="2779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02A43"/>
                <w:sz w:val="15"/>
              </w:rPr>
              <w:t>Resume card with memory cue</w:t>
            </w:r>
            <w:r>
              <w:rPr>
                <w:rFonts w:ascii="Aptos" w:hAnsi="Aptos" w:eastAsia="Aptos"/>
                <w:b/>
                <w:color w:val="045D65"/>
                <w:sz w:val="11"/>
              </w:rPr>
              <w:t xml:space="preserve">  DIRECT</w:t>
            </w:r>
          </w:p>
        </w:tc>
        <w:tc>
          <w:tcPr>
            <w:tcW w:type="dxa" w:w="7128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243B53"/>
                <w:sz w:val="14"/>
              </w:rPr>
              <w:t xml:space="preserve">Show 'Welcome back - you stopped 12:42 into Module 6: Custody. Last completed: wallet-risk example.' with Resume and Replay 30 seconds. </w:t>
            </w:r>
            <w:r>
              <w:rPr>
                <w:rFonts w:ascii="Aptos" w:hAnsi="Aptos" w:eastAsia="Aptos"/>
                <w:i/>
                <w:color w:val="52667A"/>
                <w:sz w:val="14"/>
              </w:rPr>
              <w:t xml:space="preserve">Restores both location and mental context after the interruption pattern most likely for busy advisors. </w:t>
            </w:r>
            <w:hyperlink r:id="rId16">
              <w:r>
                <w:rPr>
                  <w:color w:val="045D65"/>
                </w:rPr>
                <w:t>S15</w:t>
              </w:r>
            </w:hyperlink>
            <w:r>
              <w:rPr>
                <w:rFonts w:ascii="Aptos" w:hAnsi="Aptos" w:eastAsia="Aptos"/>
                <w:color w:val="829AB1"/>
                <w:sz w:val="12"/>
              </w:rPr>
              <w:t>·</w:t>
            </w:r>
            <w:hyperlink r:id="rId15">
              <w:r>
                <w:rPr>
                  <w:color w:val="045D65"/>
                </w:rPr>
                <w:t>S04</w:t>
              </w:r>
            </w:hyperlink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"/>
        <w:gridCol w:w="2779"/>
        <w:gridCol w:w="7128"/>
      </w:tblGrid>
      <w:tr>
        <w:trPr>
          <w:cantSplit/>
        </w:trPr>
        <w:tc>
          <w:tcPr>
            <w:tcW w:type="dxa" w:w="489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  <w:shd w:fill="E5F5F5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045D65"/>
                <w:sz w:val="14"/>
              </w:rPr>
              <w:t>5</w:t>
            </w:r>
          </w:p>
        </w:tc>
        <w:tc>
          <w:tcPr>
            <w:tcW w:type="dxa" w:w="2779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02A43"/>
                <w:sz w:val="15"/>
              </w:rPr>
              <w:t>Immediate, unambiguous result</w:t>
            </w:r>
            <w:r>
              <w:rPr>
                <w:rFonts w:ascii="Aptos" w:hAnsi="Aptos" w:eastAsia="Aptos"/>
                <w:b/>
                <w:color w:val="045D65"/>
                <w:sz w:val="11"/>
              </w:rPr>
              <w:t xml:space="preserve">  DIRECT</w:t>
            </w:r>
          </w:p>
        </w:tc>
        <w:tc>
          <w:tcPr>
            <w:tcW w:type="dxa" w:w="7128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243B53"/>
                <w:sz w:val="14"/>
              </w:rPr>
              <w:t xml:space="preserve">Lead with 'Passed - 8/10' or 'Not yet - 6/10; 7/10 is required' and show the unlocked or still-locked next step. </w:t>
            </w:r>
            <w:r>
              <w:rPr>
                <w:rFonts w:ascii="Aptos" w:hAnsi="Aptos" w:eastAsia="Aptos"/>
                <w:i/>
                <w:color w:val="52667A"/>
                <w:sz w:val="14"/>
              </w:rPr>
              <w:t xml:space="preserve">An immediate pass/fail statement prevents score interpretation and support-seeking at the highest-anxiety moment. </w:t>
            </w:r>
            <w:hyperlink r:id="rId13">
              <w:r>
                <w:rPr>
                  <w:color w:val="045D65"/>
                </w:rPr>
                <w:t>S10</w:t>
              </w:r>
            </w:hyperlink>
            <w:r>
              <w:rPr>
                <w:rFonts w:ascii="Aptos" w:hAnsi="Aptos" w:eastAsia="Aptos"/>
                <w:color w:val="829AB1"/>
                <w:sz w:val="12"/>
              </w:rPr>
              <w:t>·</w:t>
            </w:r>
            <w:hyperlink r:id="rId17">
              <w:r>
                <w:rPr>
                  <w:color w:val="045D65"/>
                </w:rPr>
                <w:t>S40</w:t>
              </w:r>
            </w:hyperlink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"/>
        <w:gridCol w:w="2779"/>
        <w:gridCol w:w="7128"/>
      </w:tblGrid>
      <w:tr>
        <w:trPr>
          <w:cantSplit/>
        </w:trPr>
        <w:tc>
          <w:tcPr>
            <w:tcW w:type="dxa" w:w="489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  <w:shd w:fill="E5F5F5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045D65"/>
                <w:sz w:val="14"/>
              </w:rPr>
              <w:t>6</w:t>
            </w:r>
          </w:p>
        </w:tc>
        <w:tc>
          <w:tcPr>
            <w:tcW w:type="dxa" w:w="2779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02A43"/>
                <w:sz w:val="15"/>
              </w:rPr>
              <w:t>Failure as guided recovery, not dead end</w:t>
            </w:r>
            <w:r>
              <w:rPr>
                <w:rFonts w:ascii="Aptos" w:hAnsi="Aptos" w:eastAsia="Aptos"/>
                <w:b/>
                <w:color w:val="045D65"/>
                <w:sz w:val="11"/>
              </w:rPr>
              <w:t xml:space="preserve">  DIRECT</w:t>
            </w:r>
          </w:p>
        </w:tc>
        <w:tc>
          <w:tcPr>
            <w:tcW w:type="dxa" w:w="7128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243B53"/>
                <w:sz w:val="14"/>
              </w:rPr>
              <w:t xml:space="preserve">Replace 'Failed' with 'Not yet - review these two topics, then try again' and display Review missed topics and Retry quiz as the only primary actions. </w:t>
            </w:r>
            <w:r>
              <w:rPr>
                <w:rFonts w:ascii="Aptos" w:hAnsi="Aptos" w:eastAsia="Aptos"/>
                <w:i/>
                <w:color w:val="52667A"/>
                <w:sz w:val="14"/>
              </w:rPr>
              <w:t xml:space="preserve">A specific recovery route preserves motivation and makes unlimited attempts feel academically intentional. </w:t>
            </w:r>
            <w:hyperlink r:id="rId13">
              <w:r>
                <w:rPr>
                  <w:color w:val="045D65"/>
                </w:rPr>
                <w:t>S10</w:t>
              </w:r>
            </w:hyperlink>
            <w:r>
              <w:rPr>
                <w:rFonts w:ascii="Aptos" w:hAnsi="Aptos" w:eastAsia="Aptos"/>
                <w:color w:val="829AB1"/>
                <w:sz w:val="12"/>
              </w:rPr>
              <w:t>·</w:t>
            </w:r>
            <w:hyperlink r:id="rId18">
              <w:r>
                <w:rPr>
                  <w:color w:val="045D65"/>
                </w:rPr>
                <w:t>S46</w:t>
              </w:r>
            </w:hyperlink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"/>
        <w:gridCol w:w="2779"/>
        <w:gridCol w:w="7128"/>
      </w:tblGrid>
      <w:tr>
        <w:trPr>
          <w:cantSplit/>
        </w:trPr>
        <w:tc>
          <w:tcPr>
            <w:tcW w:type="dxa" w:w="489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  <w:shd w:fill="E5F5F5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045D65"/>
                <w:sz w:val="14"/>
              </w:rPr>
              <w:t>7</w:t>
            </w:r>
          </w:p>
        </w:tc>
        <w:tc>
          <w:tcPr>
            <w:tcW w:type="dxa" w:w="2779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02A43"/>
                <w:sz w:val="15"/>
              </w:rPr>
              <w:t>Explicit completion checklist</w:t>
            </w:r>
            <w:r>
              <w:rPr>
                <w:rFonts w:ascii="Aptos" w:hAnsi="Aptos" w:eastAsia="Aptos"/>
                <w:b/>
                <w:color w:val="045D65"/>
                <w:sz w:val="11"/>
              </w:rPr>
              <w:t xml:space="preserve">  DIRECT</w:t>
            </w:r>
          </w:p>
        </w:tc>
        <w:tc>
          <w:tcPr>
            <w:tcW w:type="dxa" w:w="7128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243B53"/>
                <w:sz w:val="14"/>
              </w:rPr>
              <w:t xml:space="preserve">Show 14/14 modules complete, 14/14 quizzes passed, overall course complete, completion date, and learner name before credential actions. </w:t>
            </w:r>
            <w:r>
              <w:rPr>
                <w:rFonts w:ascii="Aptos" w:hAnsi="Aptos" w:eastAsia="Aptos"/>
                <w:i/>
                <w:color w:val="52667A"/>
                <w:sz w:val="14"/>
              </w:rPr>
              <w:t xml:space="preserve">A visible checklist turns 14 modules and 14 quizzes into an auditable finish line. </w:t>
            </w:r>
            <w:hyperlink r:id="rId19">
              <w:r>
                <w:rPr>
                  <w:color w:val="045D65"/>
                </w:rPr>
                <w:t>S08</w:t>
              </w:r>
            </w:hyperlink>
            <w:r>
              <w:rPr>
                <w:rFonts w:ascii="Aptos" w:hAnsi="Aptos" w:eastAsia="Aptos"/>
                <w:color w:val="829AB1"/>
                <w:sz w:val="12"/>
              </w:rPr>
              <w:t>·</w:t>
            </w:r>
            <w:hyperlink r:id="rId20">
              <w:r>
                <w:rPr>
                  <w:color w:val="045D65"/>
                </w:rPr>
                <w:t>S13</w:t>
              </w:r>
            </w:hyperlink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"/>
        <w:gridCol w:w="2779"/>
        <w:gridCol w:w="7128"/>
      </w:tblGrid>
      <w:tr>
        <w:trPr>
          <w:cantSplit/>
        </w:trPr>
        <w:tc>
          <w:tcPr>
            <w:tcW w:type="dxa" w:w="489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  <w:shd w:fill="E5F5F5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045D65"/>
                <w:sz w:val="14"/>
              </w:rPr>
              <w:t>8</w:t>
            </w:r>
          </w:p>
        </w:tc>
        <w:tc>
          <w:tcPr>
            <w:tcW w:type="dxa" w:w="2779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02A43"/>
                <w:sz w:val="15"/>
              </w:rPr>
              <w:t>Immediate credential reveal and durable home</w:t>
            </w:r>
            <w:r>
              <w:rPr>
                <w:rFonts w:ascii="Aptos" w:hAnsi="Aptos" w:eastAsia="Aptos"/>
                <w:b/>
                <w:color w:val="045D65"/>
                <w:sz w:val="11"/>
              </w:rPr>
              <w:t xml:space="preserve">  DIRECT</w:t>
            </w:r>
          </w:p>
        </w:tc>
        <w:tc>
          <w:tcPr>
            <w:tcW w:type="dxa" w:w="7128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243B53"/>
                <w:sz w:val="14"/>
              </w:rPr>
              <w:t xml:space="preserve">Reveal the credential on completion, email it, and keep a permanent 'My Credentials' destination linked from the global navigation. </w:t>
            </w:r>
            <w:r>
              <w:rPr>
                <w:rFonts w:ascii="Aptos" w:hAnsi="Aptos" w:eastAsia="Aptos"/>
                <w:i/>
                <w:color w:val="52667A"/>
                <w:sz w:val="14"/>
              </w:rPr>
              <w:t xml:space="preserve">Immediate reveal plus a permanent home resolves the recurring question of where the certificate lives. </w:t>
            </w:r>
            <w:hyperlink r:id="rId20">
              <w:r>
                <w:rPr>
                  <w:color w:val="045D65"/>
                </w:rPr>
                <w:t>S13</w:t>
              </w:r>
            </w:hyperlink>
            <w:r>
              <w:rPr>
                <w:rFonts w:ascii="Aptos" w:hAnsi="Aptos" w:eastAsia="Aptos"/>
                <w:color w:val="829AB1"/>
                <w:sz w:val="12"/>
              </w:rPr>
              <w:t>·</w:t>
            </w:r>
            <w:hyperlink r:id="rId19">
              <w:r>
                <w:rPr>
                  <w:color w:val="045D65"/>
                </w:rPr>
                <w:t>S08</w:t>
              </w:r>
            </w:hyperlink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"/>
        <w:gridCol w:w="2779"/>
        <w:gridCol w:w="7128"/>
      </w:tblGrid>
      <w:tr>
        <w:trPr>
          <w:cantSplit/>
        </w:trPr>
        <w:tc>
          <w:tcPr>
            <w:tcW w:type="dxa" w:w="489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  <w:shd w:fill="E5F5F5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045D65"/>
                <w:sz w:val="14"/>
              </w:rPr>
              <w:t>9</w:t>
            </w:r>
          </w:p>
        </w:tc>
        <w:tc>
          <w:tcPr>
            <w:tcW w:type="dxa" w:w="2779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02A43"/>
                <w:sz w:val="15"/>
              </w:rPr>
              <w:t>CE and credential status confirmation after external posting</w:t>
            </w:r>
            <w:r>
              <w:rPr>
                <w:rFonts w:ascii="Aptos" w:hAnsi="Aptos" w:eastAsia="Aptos"/>
                <w:b/>
                <w:color w:val="045D65"/>
                <w:sz w:val="11"/>
              </w:rPr>
              <w:t xml:space="preserve">  DIRECT</w:t>
            </w:r>
          </w:p>
        </w:tc>
        <w:tc>
          <w:tcPr>
            <w:tcW w:type="dxa" w:w="7128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243B53"/>
                <w:sz w:val="14"/>
              </w:rPr>
              <w:t xml:space="preserve">When each external CE record is confirmed, update the status timestamp and send one concise confirmation; if confirmation cannot be observed, clearly say what DACFP has completed and where the learner can verify. </w:t>
            </w:r>
            <w:r>
              <w:rPr>
                <w:rFonts w:ascii="Aptos" w:hAnsi="Aptos" w:eastAsia="Aptos"/>
                <w:i/>
                <w:color w:val="52667A"/>
                <w:sz w:val="14"/>
              </w:rPr>
              <w:t xml:space="preserve">A second confirmation after external posting closes the trust gap that provider completion alone cannot close. </w:t>
            </w:r>
            <w:hyperlink r:id="rId11">
              <w:r>
                <w:rPr>
                  <w:color w:val="045D65"/>
                </w:rPr>
                <w:t>S34</w:t>
              </w:r>
            </w:hyperlink>
            <w:r>
              <w:rPr>
                <w:rFonts w:ascii="Aptos" w:hAnsi="Aptos" w:eastAsia="Aptos"/>
                <w:color w:val="829AB1"/>
                <w:sz w:val="12"/>
              </w:rPr>
              <w:t>·</w:t>
            </w:r>
            <w:hyperlink r:id="rId21">
              <w:r>
                <w:rPr>
                  <w:color w:val="045D65"/>
                </w:rPr>
                <w:t>S31</w:t>
              </w:r>
            </w:hyperlink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"/>
        <w:gridCol w:w="2779"/>
        <w:gridCol w:w="7128"/>
      </w:tblGrid>
      <w:tr>
        <w:trPr>
          <w:cantSplit/>
        </w:trPr>
        <w:tc>
          <w:tcPr>
            <w:tcW w:type="dxa" w:w="489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  <w:shd w:fill="E5F5F5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045D65"/>
                <w:sz w:val="14"/>
              </w:rPr>
              <w:t>10</w:t>
            </w:r>
          </w:p>
        </w:tc>
        <w:tc>
          <w:tcPr>
            <w:tcW w:type="dxa" w:w="2779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02A43"/>
                <w:sz w:val="15"/>
              </w:rPr>
              <w:t>Persistent module checklist and total progress</w:t>
            </w:r>
            <w:r>
              <w:rPr>
                <w:rFonts w:ascii="Aptos" w:hAnsi="Aptos" w:eastAsia="Aptos"/>
                <w:b/>
                <w:color w:val="045D65"/>
                <w:sz w:val="11"/>
              </w:rPr>
              <w:t xml:space="preserve">  DIRECT</w:t>
            </w:r>
          </w:p>
        </w:tc>
        <w:tc>
          <w:tcPr>
            <w:tcW w:type="dxa" w:w="7128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243B53"/>
                <w:sz w:val="14"/>
              </w:rPr>
              <w:t xml:space="preserve">Keep 'Module 5 of 14' and a collapsible checklist visible; distinguish video watched, quiz passed, and module complete. </w:t>
            </w:r>
            <w:r>
              <w:rPr>
                <w:rFonts w:ascii="Aptos" w:hAnsi="Aptos" w:eastAsia="Aptos"/>
                <w:i/>
                <w:color w:val="52667A"/>
                <w:sz w:val="14"/>
              </w:rPr>
              <w:t xml:space="preserve">A persistent checklist lets learners orient themselves without leaving the player or mentally reconstructing the course. </w:t>
            </w:r>
            <w:hyperlink r:id="rId22">
              <w:r>
                <w:rPr>
                  <w:color w:val="045D65"/>
                </w:rPr>
                <w:t>S01</w:t>
              </w:r>
            </w:hyperlink>
            <w:r>
              <w:rPr>
                <w:rFonts w:ascii="Aptos" w:hAnsi="Aptos" w:eastAsia="Aptos"/>
                <w:color w:val="829AB1"/>
                <w:sz w:val="12"/>
              </w:rPr>
              <w:t>·</w:t>
            </w:r>
            <w:hyperlink r:id="rId23">
              <w:r>
                <w:rPr>
                  <w:color w:val="045D65"/>
                </w:rPr>
                <w:t>S11</w:t>
              </w:r>
            </w:hyperlink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"/>
        <w:gridCol w:w="2779"/>
        <w:gridCol w:w="7128"/>
      </w:tblGrid>
      <w:tr>
        <w:trPr>
          <w:cantSplit/>
        </w:trPr>
        <w:tc>
          <w:tcPr>
            <w:tcW w:type="dxa" w:w="489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  <w:shd w:fill="E5F5F5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045D65"/>
                <w:sz w:val="14"/>
              </w:rPr>
              <w:t>11</w:t>
            </w:r>
          </w:p>
        </w:tc>
        <w:tc>
          <w:tcPr>
            <w:tcW w:type="dxa" w:w="2779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02A43"/>
                <w:sz w:val="15"/>
              </w:rPr>
              <w:t>Visible lock with actionable reason</w:t>
            </w:r>
            <w:r>
              <w:rPr>
                <w:rFonts w:ascii="Aptos" w:hAnsi="Aptos" w:eastAsia="Aptos"/>
                <w:b/>
                <w:color w:val="045D65"/>
                <w:sz w:val="11"/>
              </w:rPr>
              <w:t xml:space="preserve">  DIRECT</w:t>
            </w:r>
          </w:p>
        </w:tc>
        <w:tc>
          <w:tcPr>
            <w:tcW w:type="dxa" w:w="7128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243B53"/>
                <w:sz w:val="14"/>
              </w:rPr>
              <w:t xml:space="preserve">On every locked module show 'Complete Module X and pass its quiz to unlock this module' plus a button back to the blocking step. </w:t>
            </w:r>
            <w:r>
              <w:rPr>
                <w:rFonts w:ascii="Aptos" w:hAnsi="Aptos" w:eastAsia="Aptos"/>
                <w:i/>
                <w:color w:val="52667A"/>
                <w:sz w:val="14"/>
              </w:rPr>
              <w:t xml:space="preserve">Actionable lock text converts a compliance restriction from an apparent defect into an understandable rule. </w:t>
            </w:r>
            <w:hyperlink r:id="rId14">
              <w:r>
                <w:rPr>
                  <w:color w:val="045D65"/>
                </w:rPr>
                <w:t>S05</w:t>
              </w:r>
            </w:hyperlink>
            <w:r>
              <w:rPr>
                <w:rFonts w:ascii="Aptos" w:hAnsi="Aptos" w:eastAsia="Aptos"/>
                <w:color w:val="829AB1"/>
                <w:sz w:val="12"/>
              </w:rPr>
              <w:t>·</w:t>
            </w:r>
            <w:hyperlink r:id="rId23">
              <w:r>
                <w:rPr>
                  <w:color w:val="045D65"/>
                </w:rPr>
                <w:t>S11</w:t>
              </w:r>
            </w:hyperlink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"/>
        <w:gridCol w:w="2779"/>
        <w:gridCol w:w="7128"/>
      </w:tblGrid>
      <w:tr>
        <w:trPr>
          <w:cantSplit/>
        </w:trPr>
        <w:tc>
          <w:tcPr>
            <w:tcW w:type="dxa" w:w="489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  <w:shd w:fill="E5F5F5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045D65"/>
                <w:sz w:val="14"/>
              </w:rPr>
              <w:t>12</w:t>
            </w:r>
          </w:p>
        </w:tc>
        <w:tc>
          <w:tcPr>
            <w:tcW w:type="dxa" w:w="2779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02A43"/>
                <w:sz w:val="15"/>
              </w:rPr>
              <w:t>Chapter-transition bridge</w:t>
            </w:r>
            <w:r>
              <w:rPr>
                <w:rFonts w:ascii="Aptos" w:hAnsi="Aptos" w:eastAsia="Aptos"/>
                <w:b/>
                <w:color w:val="045D65"/>
                <w:sz w:val="11"/>
              </w:rPr>
              <w:t xml:space="preserve">  DIRECT</w:t>
            </w:r>
          </w:p>
        </w:tc>
        <w:tc>
          <w:tcPr>
            <w:tcW w:type="dxa" w:w="7128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243B53"/>
                <w:sz w:val="14"/>
              </w:rPr>
              <w:t xml:space="preserve">After every pass, show the next module's title, why it matters, time estimate, and one-button start; also allow Save and exit. </w:t>
            </w:r>
            <w:r>
              <w:rPr>
                <w:rFonts w:ascii="Aptos" w:hAnsi="Aptos" w:eastAsia="Aptos"/>
                <w:i/>
                <w:color w:val="52667A"/>
                <w:sz w:val="14"/>
              </w:rPr>
              <w:t xml:space="preserve">A bridge at every module close protects the point where large online courses show elevated dropout. </w:t>
            </w:r>
            <w:hyperlink r:id="rId24">
              <w:r>
                <w:rPr>
                  <w:color w:val="045D65"/>
                </w:rPr>
                <w:t>S58</w:t>
              </w:r>
            </w:hyperlink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"/>
        <w:gridCol w:w="2779"/>
        <w:gridCol w:w="7128"/>
      </w:tblGrid>
      <w:tr>
        <w:trPr>
          <w:cantSplit/>
        </w:trPr>
        <w:tc>
          <w:tcPr>
            <w:tcW w:type="dxa" w:w="489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  <w:shd w:fill="E5F5F5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045D65"/>
                <w:sz w:val="14"/>
              </w:rPr>
              <w:t>13</w:t>
            </w:r>
          </w:p>
        </w:tc>
        <w:tc>
          <w:tcPr>
            <w:tcW w:type="dxa" w:w="2779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02A43"/>
                <w:sz w:val="15"/>
              </w:rPr>
              <w:t>Expiration reminder ladder</w:t>
            </w:r>
            <w:r>
              <w:rPr>
                <w:rFonts w:ascii="Aptos" w:hAnsi="Aptos" w:eastAsia="Aptos"/>
                <w:b/>
                <w:color w:val="045D65"/>
                <w:sz w:val="11"/>
              </w:rPr>
              <w:t xml:space="preserve">  DIRECT</w:t>
            </w:r>
          </w:p>
        </w:tc>
        <w:tc>
          <w:tcPr>
            <w:tcW w:type="dxa" w:w="7128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243B53"/>
                <w:sz w:val="14"/>
              </w:rPr>
              <w:t xml:space="preserve">Notify at 60, 30, and 7 days with current status, exact $99 price, one-hour estimate, due date, and a single renewal CTA; suppress later reminders after completion. </w:t>
            </w:r>
            <w:r>
              <w:rPr>
                <w:rFonts w:ascii="Aptos" w:hAnsi="Aptos" w:eastAsia="Aptos"/>
                <w:i/>
                <w:color w:val="52667A"/>
                <w:sz w:val="14"/>
              </w:rPr>
              <w:t xml:space="preserve">A 60/30/7-day ladder creates urgency gradually while avoiding the noise of year-round reminders. </w:t>
            </w:r>
            <w:hyperlink r:id="rId25">
              <w:r>
                <w:rPr>
                  <w:color w:val="045D65"/>
                </w:rPr>
                <w:t>S42</w:t>
              </w:r>
            </w:hyperlink>
            <w:r>
              <w:rPr>
                <w:rFonts w:ascii="Aptos" w:hAnsi="Aptos" w:eastAsia="Aptos"/>
                <w:color w:val="829AB1"/>
                <w:sz w:val="12"/>
              </w:rPr>
              <w:t>·</w:t>
            </w:r>
            <w:hyperlink r:id="rId26">
              <w:r>
                <w:rPr>
                  <w:color w:val="045D65"/>
                </w:rPr>
                <w:t>S09</w:t>
              </w:r>
            </w:hyperlink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"/>
        <w:gridCol w:w="2779"/>
        <w:gridCol w:w="7128"/>
      </w:tblGrid>
      <w:tr>
        <w:trPr>
          <w:cantSplit/>
        </w:trPr>
        <w:tc>
          <w:tcPr>
            <w:tcW w:type="dxa" w:w="489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  <w:shd w:fill="E5F5F5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045D65"/>
                <w:sz w:val="14"/>
              </w:rPr>
              <w:t>14</w:t>
            </w:r>
          </w:p>
        </w:tc>
        <w:tc>
          <w:tcPr>
            <w:tcW w:type="dxa" w:w="2779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02A43"/>
                <w:sz w:val="15"/>
              </w:rPr>
              <w:t>Persistent credential health card</w:t>
            </w:r>
            <w:r>
              <w:rPr>
                <w:rFonts w:ascii="Aptos" w:hAnsi="Aptos" w:eastAsia="Aptos"/>
                <w:b/>
                <w:color w:val="045D65"/>
                <w:sz w:val="11"/>
              </w:rPr>
              <w:t xml:space="preserve">  DIRECT</w:t>
            </w:r>
          </w:p>
        </w:tc>
        <w:tc>
          <w:tcPr>
            <w:tcW w:type="dxa" w:w="7128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243B53"/>
                <w:sz w:val="14"/>
              </w:rPr>
              <w:t xml:space="preserve">Dashboard card: CBDA current, issue date, valid-through date, next renewal opens, renewal price, and View credential/CE record. </w:t>
            </w:r>
            <w:r>
              <w:rPr>
                <w:rFonts w:ascii="Aptos" w:hAnsi="Aptos" w:eastAsia="Aptos"/>
                <w:i/>
                <w:color w:val="52667A"/>
                <w:sz w:val="14"/>
              </w:rPr>
              <w:t xml:space="preserve">A durable credential-health card keeps status, expiry, certificate, and reporting answers in one place. </w:t>
            </w:r>
            <w:hyperlink r:id="rId25">
              <w:r>
                <w:rPr>
                  <w:color w:val="045D65"/>
                </w:rPr>
                <w:t>S42</w:t>
              </w:r>
            </w:hyperlink>
            <w:r>
              <w:rPr>
                <w:rFonts w:ascii="Aptos" w:hAnsi="Aptos" w:eastAsia="Aptos"/>
                <w:color w:val="829AB1"/>
                <w:sz w:val="12"/>
              </w:rPr>
              <w:t>·</w:t>
            </w:r>
            <w:hyperlink r:id="rId27">
              <w:r>
                <w:rPr>
                  <w:color w:val="045D65"/>
                </w:rPr>
                <w:t>S36</w:t>
              </w:r>
            </w:hyperlink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"/>
        <w:gridCol w:w="2779"/>
        <w:gridCol w:w="7128"/>
      </w:tblGrid>
      <w:tr>
        <w:trPr>
          <w:cantSplit/>
        </w:trPr>
        <w:tc>
          <w:tcPr>
            <w:tcW w:type="dxa" w:w="489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  <w:shd w:fill="E5F5F5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045D65"/>
                <w:sz w:val="14"/>
              </w:rPr>
              <w:t>15</w:t>
            </w:r>
          </w:p>
        </w:tc>
        <w:tc>
          <w:tcPr>
            <w:tcW w:type="dxa" w:w="2779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02A43"/>
                <w:sz w:val="15"/>
              </w:rPr>
              <w:t>Returning-holder landing page</w:t>
            </w:r>
            <w:r>
              <w:rPr>
                <w:rFonts w:ascii="Aptos" w:hAnsi="Aptos" w:eastAsia="Aptos"/>
                <w:b/>
                <w:color w:val="045D65"/>
                <w:sz w:val="11"/>
              </w:rPr>
              <w:t xml:space="preserve">  DIRECT</w:t>
            </w:r>
          </w:p>
        </w:tc>
        <w:tc>
          <w:tcPr>
            <w:tcW w:type="dxa" w:w="7128"/>
            <w:tcMar>
              <w:top w:w="25" w:type="dxa"/>
              <w:start w:w="45" w:type="dxa"/>
              <w:bottom w:w="25" w:type="dxa"/>
              <w:end w:w="45" w:type="dxa"/>
            </w:tcMar>
            <w:tcBorders>
              <w:bottom w:val="single" w:sz="2" w:color="D8E1E8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color w:val="243B53"/>
                <w:sz w:val="14"/>
              </w:rPr>
              <w:t xml:space="preserve">Lead with 'Welcome back, Jack. Your CBDA is current through [date]. Complete the 2027 renewal course to extend it through [date].' Then show one Start renewal button. </w:t>
            </w:r>
            <w:r>
              <w:rPr>
                <w:rFonts w:ascii="Aptos" w:hAnsi="Aptos" w:eastAsia="Aptos"/>
                <w:i/>
                <w:color w:val="52667A"/>
                <w:sz w:val="14"/>
              </w:rPr>
              <w:t xml:space="preserve">A returning-holder landing page collapses renewal reorientation into one screen and one next action. </w:t>
            </w:r>
            <w:hyperlink r:id="rId28">
              <w:r>
                <w:rPr>
                  <w:color w:val="045D65"/>
                </w:rPr>
                <w:t>S38</w:t>
              </w:r>
            </w:hyperlink>
            <w:r>
              <w:rPr>
                <w:rFonts w:ascii="Aptos" w:hAnsi="Aptos" w:eastAsia="Aptos"/>
                <w:color w:val="829AB1"/>
                <w:sz w:val="12"/>
              </w:rPr>
              <w:t>·</w:t>
            </w:r>
            <w:hyperlink r:id="rId25">
              <w:r>
                <w:rPr>
                  <w:color w:val="045D65"/>
                </w:rPr>
                <w:t>S42</w:t>
              </w:r>
            </w:hyperlink>
          </w:p>
        </w:tc>
      </w:tr>
    </w:tbl>
    <w:p>
      <w:pPr>
        <w:spacing w:before="40" w:after="16"/>
      </w:pPr>
      <w:r>
        <w:rPr>
          <w:rFonts w:ascii="Aptos" w:hAnsi="Aptos" w:eastAsia="Aptos"/>
          <w:b/>
          <w:color w:val="C58B18"/>
          <w:sz w:val="12"/>
        </w:rPr>
        <w:t>WORTH KNOWING  /  THE TRADEOFFS IN CHOOSING AGAINST CONSUMER MECHANICS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63"/>
        <w:gridCol w:w="2563"/>
        <w:gridCol w:w="2563"/>
        <w:gridCol w:w="2563"/>
      </w:tblGrid>
      <w:tr>
        <w:tc>
          <w:tcPr>
            <w:tcW w:type="dxa" w:w="2563"/>
            <w:shd w:fill="F2F5F7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C58B18"/>
              <w:left w:val="single" w:sz="2" w:color="D8E1E8"/>
              <w:bottom w:val="single" w:sz="2" w:color="D8E1E8"/>
              <w:right w:val="single" w:sz="2" w:color="D8E1E8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102A43"/>
                <w:sz w:val="13"/>
              </w:rPr>
              <w:t>Audio-only + offline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52667A"/>
                <w:sz w:val="12"/>
              </w:rPr>
              <w:t xml:space="preserve">more access in low-connectivity or commute contexts, but weaker control over verified video engagement. </w:t>
            </w:r>
            <w:hyperlink r:id="rId29">
              <w:r>
                <w:rPr>
                  <w:color w:val="52667A"/>
                </w:rPr>
                <w:t>P21</w:t>
              </w:r>
            </w:hyperlink>
            <w:r>
              <w:rPr>
                <w:rFonts w:ascii="Aptos" w:hAnsi="Aptos" w:eastAsia="Aptos"/>
                <w:color w:val="829AB1"/>
                <w:sz w:val="11"/>
              </w:rPr>
              <w:t>·</w:t>
            </w:r>
            <w:hyperlink r:id="rId30">
              <w:r>
                <w:rPr>
                  <w:color w:val="52667A"/>
                </w:rPr>
                <w:t>P22</w:t>
              </w:r>
            </w:hyperlink>
          </w:p>
        </w:tc>
        <w:tc>
          <w:tcPr>
            <w:tcW w:type="dxa" w:w="2563"/>
            <w:shd w:fill="F2F5F7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C58B18"/>
              <w:left w:val="single" w:sz="2" w:color="D8E1E8"/>
              <w:bottom w:val="single" w:sz="2" w:color="D8E1E8"/>
              <w:right w:val="single" w:sz="2" w:color="D8E1E8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102A43"/>
                <w:sz w:val="13"/>
              </w:rPr>
              <w:t>Autoplay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52667A"/>
                <w:sz w:val="12"/>
              </w:rPr>
              <w:t xml:space="preserve">lower transition friction, but less deliberate evidence that a learner chose to enter the next required lesson. </w:t>
            </w:r>
            <w:hyperlink r:id="rId31">
              <w:r>
                <w:rPr>
                  <w:color w:val="52667A"/>
                </w:rPr>
                <w:t>P23</w:t>
              </w:r>
            </w:hyperlink>
          </w:p>
        </w:tc>
        <w:tc>
          <w:tcPr>
            <w:tcW w:type="dxa" w:w="2563"/>
            <w:shd w:fill="F2F5F7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C58B18"/>
              <w:left w:val="single" w:sz="2" w:color="D8E1E8"/>
              <w:bottom w:val="single" w:sz="2" w:color="D8E1E8"/>
              <w:right w:val="single" w:sz="2" w:color="D8E1E8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102A43"/>
                <w:sz w:val="13"/>
              </w:rPr>
              <w:t>Daily streaks + game economy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52667A"/>
                <w:sz w:val="12"/>
              </w:rPr>
              <w:t xml:space="preserve">stronger return pressure and social competition, but a tone and incentive system mismatched to annual professional compliance. </w:t>
            </w:r>
            <w:hyperlink r:id="rId32">
              <w:r>
                <w:rPr>
                  <w:color w:val="52667A"/>
                </w:rPr>
                <w:t>P41</w:t>
              </w:r>
            </w:hyperlink>
            <w:r>
              <w:rPr>
                <w:rFonts w:ascii="Aptos" w:hAnsi="Aptos" w:eastAsia="Aptos"/>
                <w:color w:val="829AB1"/>
                <w:sz w:val="11"/>
              </w:rPr>
              <w:t>·</w:t>
            </w:r>
            <w:hyperlink r:id="rId33">
              <w:r>
                <w:rPr>
                  <w:color w:val="52667A"/>
                </w:rPr>
                <w:t>P42</w:t>
              </w:r>
            </w:hyperlink>
          </w:p>
        </w:tc>
        <w:tc>
          <w:tcPr>
            <w:tcW w:type="dxa" w:w="2563"/>
            <w:shd w:fill="F2F5F7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color="C58B18"/>
              <w:left w:val="single" w:sz="2" w:color="D8E1E8"/>
              <w:bottom w:val="single" w:sz="2" w:color="D8E1E8"/>
              <w:right w:val="single" w:sz="2" w:color="D8E1E8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102A43"/>
                <w:sz w:val="13"/>
              </w:rPr>
              <w:t>Cohort pacing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52667A"/>
                <w:sz w:val="12"/>
              </w:rPr>
              <w:t xml:space="preserve">shared finish lines and peer accountability, but reduced flexibility for working advisors. </w:t>
            </w:r>
            <w:hyperlink r:id="rId34">
              <w:r>
                <w:rPr>
                  <w:color w:val="52667A"/>
                </w:rPr>
                <w:t>P57</w:t>
              </w:r>
            </w:hyperlink>
          </w:p>
        </w:tc>
      </w:tr>
    </w:tbl>
    <w:sectPr w:rsidR="00FC693F" w:rsidRPr="0006063C" w:rsidSect="00034616">
      <w:footerReference w:type="default" r:id="rId9"/>
      <w:headerReference w:type="default" r:id="rId10"/>
      <w:pgSz w:w="12240" w:h="15840"/>
      <w:pgMar w:top="605" w:right="749" w:bottom="547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left"/>
    </w:pPr>
    <w:r>
      <w:rPr>
        <w:rFonts w:ascii="Aptos" w:hAnsi="Aptos" w:eastAsia="Aptos"/>
        <w:color w:val="829AB1"/>
        <w:sz w:val="11"/>
      </w:rPr>
      <w:t>Ranking = ordinal impact-for-effort, tied toward completion clarity, CE trust, certificate findability, and mobile continuity.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ptos" w:hAnsi="Aptos" w:eastAsia="Aptos"/>
        <w:b/>
        <w:color w:val="045D65"/>
        <w:sz w:val="13"/>
      </w:rPr>
      <w:t>DACFP  /  DECISION MEMO  /  26 JULY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28" w:lineRule="auto"/>
    </w:pPr>
    <w:rPr>
      <w:rFonts w:ascii="Aptos" w:hAnsi="Aptos" w:eastAsia="Aptos"/>
      <w:color w:val="243B53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02A4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45D65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02A4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02A4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 Display" w:hAnsi="Aptos Display" w:eastAsia="Aptos Display"/>
      <w:b/>
      <w:i/>
      <w:iCs/>
      <w:color w:val="5266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yperlink" Target="https://www.cfp.net/for-cfp-pros/continuing-education/report-ce-credits" TargetMode="External"/><Relationship Id="rId12" Type="http://schemas.openxmlformats.org/officeDocument/2006/relationships/hyperlink" Target="https://www.cfp.net/for-cfp-pros/continuing-education/continuing-education-requirements" TargetMode="External"/><Relationship Id="rId13" Type="http://schemas.openxmlformats.org/officeDocument/2006/relationships/hyperlink" Target="https://support.teachable.com/en/articles/11682463-course-compliance" TargetMode="External"/><Relationship Id="rId14" Type="http://schemas.openxmlformats.org/officeDocument/2006/relationships/hyperlink" Target="https://support.thinkific.com/hc/en-us/articles/360030741153-Prerequisite-Lessons" TargetMode="External"/><Relationship Id="rId15" Type="http://schemas.openxmlformats.org/officeDocument/2006/relationships/hyperlink" Target="https://support.thinkific.com/hc/en-us/articles/10113800644631-Share-Learning-Content-on-the-Mobile-App" TargetMode="External"/><Relationship Id="rId16" Type="http://schemas.openxmlformats.org/officeDocument/2006/relationships/hyperlink" Target="https://www.masterclass.com/help-center/masterclass/answers/managing-your-class-progress--id---_w7CkGpS22PrV3Fi6khLQ" TargetMode="External"/><Relationship Id="rId17" Type="http://schemas.openxmlformats.org/officeDocument/2006/relationships/hyperlink" Target="https://www.finra.org/sites/default/files/2025-06/completing-regulatory-element-ce-learning-plans-finpro.pdf" TargetMode="External"/><Relationship Id="rId18" Type="http://schemas.openxmlformats.org/officeDocument/2006/relationships/hyperlink" Target="https://journals.sagepub.com/doi/10.3102/0034654307313795" TargetMode="External"/><Relationship Id="rId19" Type="http://schemas.openxmlformats.org/officeDocument/2006/relationships/hyperlink" Target="https://support.thinkific.com/hc/en-us/articles/360040594393-Thinkific-Certificates" TargetMode="External"/><Relationship Id="rId20" Type="http://schemas.openxmlformats.org/officeDocument/2006/relationships/hyperlink" Target="https://support.teachable.com/en/articles/11682466-certificates-of-completion" TargetMode="External"/><Relationship Id="rId21" Type="http://schemas.openxmlformats.org/officeDocument/2006/relationships/hyperlink" Target="https://blog.webce.com/article/insurance-continuing-education-complete-guide-to-renewing-license" TargetMode="External"/><Relationship Id="rId22" Type="http://schemas.openxmlformats.org/officeDocument/2006/relationships/hyperlink" Target="https://support.thinkific.com/hc/en-us/articles/360030353834-The-Thinkific-Student-Experience" TargetMode="External"/><Relationship Id="rId23" Type="http://schemas.openxmlformats.org/officeDocument/2006/relationships/hyperlink" Target="https://support.teachable.com/en/articles/11682425-navigate-and-view-course-content" TargetMode="External"/><Relationship Id="rId24" Type="http://schemas.openxmlformats.org/officeDocument/2006/relationships/hyperlink" Target="https://cs.harvard.edu/malan/publications/3_17_2020_Going%20over.pdf" TargetMode="External"/><Relationship Id="rId25" Type="http://schemas.openxmlformats.org/officeDocument/2006/relationships/hyperlink" Target="https://info.credly.com/credly-frequently-asked-question" TargetMode="External"/><Relationship Id="rId26" Type="http://schemas.openxmlformats.org/officeDocument/2006/relationships/hyperlink" Target="https://support.thinkific.com/hc/en-us/articles/19258193023511-TCommerce-Automated-Reminders" TargetMode="External"/><Relationship Id="rId27" Type="http://schemas.openxmlformats.org/officeDocument/2006/relationships/hyperlink" Target="https://www.cfainstitute.org/membership/benefits/professional-learning-program" TargetMode="External"/><Relationship Id="rId28" Type="http://schemas.openxmlformats.org/officeDocument/2006/relationships/hyperlink" Target="https://www.finra.org/registration-exams-ce/finpro" TargetMode="External"/><Relationship Id="rId29" Type="http://schemas.openxmlformats.org/officeDocument/2006/relationships/hyperlink" Target="https://www.masterclass.com/help-center/masterclass/answers/accessing-master-class-on-android--id--PnfI-RIEQfm83DGU2TSkHg" TargetMode="External"/><Relationship Id="rId30" Type="http://schemas.openxmlformats.org/officeDocument/2006/relationships/hyperlink" Target="https://www.masterclass.com/help-center/masterclass/answers/downloading-classes-for-offline-viewing--id--c1GMEnNOQqiRDFdE0oa_pA" TargetMode="External"/><Relationship Id="rId31" Type="http://schemas.openxmlformats.org/officeDocument/2006/relationships/hyperlink" Target="https://support.thinkific.com/hc/en-us/articles/360030371674-Create-a-Course" TargetMode="External"/><Relationship Id="rId32" Type="http://schemas.openxmlformats.org/officeDocument/2006/relationships/hyperlink" Target="https://blog.duolingo.com/how-duolingo-streak-builds-habit/" TargetMode="External"/><Relationship Id="rId33" Type="http://schemas.openxmlformats.org/officeDocument/2006/relationships/hyperlink" Target="https://blog.duolingo.com/duolingo-101-how-to-learn-a-language-on-duolingo/" TargetMode="External"/><Relationship Id="rId34" Type="http://schemas.openxmlformats.org/officeDocument/2006/relationships/hyperlink" Target="https://www.coursera.support/s/topic/0TO8W000000y3FCWAY/assignments-deadlines?language=en_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DACFP LMS: Top 15 Behavioral Recommendations</dc:title>
  <dc:subject>Prioritized one-page recommendation memo</dc:subject>
  <dc:creator>OpenAI for DACFP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