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.png"/>
  <Override ContentType="image/png" PartName="/word/media/document_image_rId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Cox regression analysis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exposure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.4652658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.3604926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-0.99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0.323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.1019017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2.124324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1 year follow-up</w:t>
            </w:r>
          </w:p>
        </w:tc>
      </w:tr>
    </w:tbl>
    <w:p w14:paraId="bd5081f" w14:textId="bd5081f">
      <w:pPr>
        <w:pStyle w:val="Normal"/>
        <w15:collapsed w:val="false"/>
      </w:pPr>
      <w:r>
        <w:rPr/>
        <w:t/>
      </w:r>
    </w:p>
    <w:p>
      <w:pPr>
        <w:pStyle w:val="Normal"/>
        <w:jc w:val="center"/>
      </w:pPr>
      <w:r>
        <w:rPr/>
        <w:t/>
      </w:r>
      <w:r>
        <w:rPr/>
        <w:drawing>
          <wp:inline distT="0" distB="0" distL="0" distR="0">
            <wp:extent cx="5745480" cy="41833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br w:type="page"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Cox regression analysis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_t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Haz.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exposure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.8320423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.3461467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-0.44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0.659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.3681528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pStyle w:val="Normal-TableGrid-BR2"/>
              <w:spacing w:after="0"/>
              <w:jc w:val="right"/>
            </w:pPr>
            <w:r>
              <w:rPr/>
              <w:t xml:space="preserve">1.880454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pStyle w:val="Normal-TableGrid-BR2"/>
              <w:spacing w:after="0"/>
            </w:pPr>
            <w:r>
              <w:rPr/>
              <w:t xml:space="preserve">2 year follow-up</w:t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jc w:val="center"/>
      </w:pPr>
      <w:r>
        <w:rPr/>
        <w:t/>
      </w:r>
      <w:r>
        <w:rPr/>
        <w:drawing>
          <wp:inline distT="0" distB="0" distL="0" distR="0">
            <wp:extent cx="5745480" cy="41833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