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210"/>
      </w:tblGrid>
      <w:tr w:rsidR="00E70D8E" w14:paraId="386FD352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FFFF" w:themeFill="background1"/>
          </w:tcPr>
          <w:p w14:paraId="5D58F304" w14:textId="743B9420" w:rsidR="00E70D8E" w:rsidRPr="201B7C6E" w:rsidRDefault="00E70D8E" w:rsidP="002D1D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Number:    </w:t>
            </w:r>
            <w:r w:rsidR="00B96B95">
              <w:rPr>
                <w:b/>
                <w:bCs/>
                <w:color w:val="7030A0"/>
              </w:rPr>
              <w:t>CDR</w:t>
            </w:r>
            <w:r>
              <w:rPr>
                <w:b/>
                <w:bCs/>
              </w:rPr>
              <w:t xml:space="preserve">                                                  Facilitator Name:</w:t>
            </w:r>
            <w:r w:rsidR="008E5469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</w:t>
            </w:r>
            <w:r w:rsidR="00B96B95" w:rsidRPr="00B96B95">
              <w:rPr>
                <w:b/>
                <w:bCs/>
                <w:color w:val="7030A0"/>
              </w:rPr>
              <w:t>Amber Gilbert</w:t>
            </w:r>
          </w:p>
        </w:tc>
      </w:tr>
      <w:tr w:rsidR="201B7C6E" w14:paraId="4997EE6A" w14:textId="77777777" w:rsidTr="3D2C5891">
        <w:trPr>
          <w:trHeight w:val="300"/>
        </w:trPr>
        <w:tc>
          <w:tcPr>
            <w:tcW w:w="10615" w:type="dxa"/>
            <w:gridSpan w:val="2"/>
            <w:shd w:val="clear" w:color="auto" w:fill="FFC000"/>
          </w:tcPr>
          <w:p w14:paraId="4B4C9CD5" w14:textId="7DCBB2A1" w:rsidR="201B7C6E" w:rsidRDefault="44455350" w:rsidP="328B30DD">
            <w:pPr>
              <w:rPr>
                <w:b/>
                <w:bCs/>
              </w:rPr>
            </w:pPr>
            <w:r w:rsidRPr="201B7C6E">
              <w:rPr>
                <w:b/>
                <w:bCs/>
              </w:rPr>
              <w:t>Session 1</w:t>
            </w:r>
            <w:r w:rsidR="00CB7C9A">
              <w:rPr>
                <w:b/>
                <w:bCs/>
              </w:rPr>
              <w:t xml:space="preserve"> Part 1</w:t>
            </w:r>
            <w:r w:rsidRPr="201B7C6E">
              <w:rPr>
                <w:b/>
                <w:bCs/>
              </w:rPr>
              <w:t>: Implementing Digital SETRs</w:t>
            </w:r>
          </w:p>
        </w:tc>
      </w:tr>
      <w:tr w:rsidR="00834C5D" w:rsidRPr="00D14C8C" w14:paraId="71BC37A8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5E86BAE1" w14:textId="0C2FBBED" w:rsidR="00834C5D" w:rsidRPr="00B642A9" w:rsidRDefault="00437E4A" w:rsidP="328B30DD">
            <w:pPr>
              <w:rPr>
                <w:b/>
                <w:bCs/>
              </w:rPr>
            </w:pPr>
            <w:r w:rsidRPr="00437E4A">
              <w:t xml:space="preserve">For SETR </w:t>
            </w:r>
            <w:r w:rsidR="00883A65">
              <w:t>processes</w:t>
            </w:r>
            <w:r w:rsidRPr="00437E4A">
              <w:t xml:space="preserve"> in general, please use the space below to answer the following questions. If continuing your answers on a different page, please use the question number, e.g. </w:t>
            </w:r>
            <w:r>
              <w:t>1.c, to indicate what you are responding to.</w:t>
            </w:r>
          </w:p>
        </w:tc>
      </w:tr>
      <w:tr w:rsidR="00883A65" w:rsidRPr="00D14C8C" w14:paraId="443611ED" w14:textId="77777777" w:rsidTr="3D2C5891">
        <w:trPr>
          <w:trHeight w:val="260"/>
        </w:trPr>
        <w:tc>
          <w:tcPr>
            <w:tcW w:w="10615" w:type="dxa"/>
            <w:gridSpan w:val="2"/>
            <w:shd w:val="clear" w:color="auto" w:fill="auto"/>
          </w:tcPr>
          <w:p w14:paraId="7B59A535" w14:textId="77777777" w:rsidR="00883A65" w:rsidRPr="00B642A9" w:rsidRDefault="00883A65" w:rsidP="00883A65">
            <w:pPr>
              <w:rPr>
                <w:b/>
                <w:bCs/>
              </w:rPr>
            </w:pPr>
            <w:r w:rsidRPr="00B642A9">
              <w:rPr>
                <w:b/>
                <w:bCs/>
              </w:rPr>
              <w:t>Overall SETR Process</w:t>
            </w:r>
          </w:p>
          <w:p w14:paraId="3923E514" w14:textId="7ECF046E" w:rsidR="00883A65" w:rsidRDefault="00883A65" w:rsidP="00883A65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>
              <w:t xml:space="preserve">What are the </w:t>
            </w:r>
            <w:r w:rsidR="47D9F234">
              <w:t>current</w:t>
            </w:r>
            <w:r w:rsidR="28CC245D">
              <w:t xml:space="preserve"> </w:t>
            </w:r>
            <w:r>
              <w:t>overall challenges to preparing, documenting, executing, and reviewing SETRs?</w:t>
            </w:r>
          </w:p>
          <w:p w14:paraId="6930926B" w14:textId="77777777" w:rsidR="00CE2494" w:rsidRDefault="00B96B95" w:rsidP="00CE2494">
            <w:pPr>
              <w:ind w:left="792" w:hanging="360"/>
              <w:rPr>
                <w:color w:val="7030A0"/>
              </w:rPr>
            </w:pPr>
            <w:r w:rsidRPr="00B96B95">
              <w:rPr>
                <w:color w:val="7030A0"/>
              </w:rPr>
              <w:t>Waste of time and paper—often not reused</w:t>
            </w:r>
            <w:r w:rsidR="00CE2494">
              <w:rPr>
                <w:color w:val="7030A0"/>
              </w:rPr>
              <w:t xml:space="preserve">. </w:t>
            </w:r>
          </w:p>
          <w:p w14:paraId="5206E1A6" w14:textId="77777777" w:rsidR="00CE2494" w:rsidRDefault="00CE2494" w:rsidP="00CE2494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In</w:t>
            </w:r>
            <w:r w:rsidR="00FD5FDB">
              <w:rPr>
                <w:color w:val="7030A0"/>
              </w:rPr>
              <w:t>fo often stale by time of review</w:t>
            </w:r>
            <w:r>
              <w:rPr>
                <w:color w:val="7030A0"/>
              </w:rPr>
              <w:t>.</w:t>
            </w:r>
          </w:p>
          <w:p w14:paraId="3980F80E" w14:textId="4E422261" w:rsidR="00B96B95" w:rsidRDefault="00FD5FDB" w:rsidP="00CE2494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Massive amount of information with insufficient time to review it + limited traceability across documents</w:t>
            </w:r>
            <w:r w:rsidR="00BF14E8">
              <w:rPr>
                <w:color w:val="7030A0"/>
              </w:rPr>
              <w:t xml:space="preserve"> (traceability needs to be at a useful level, not too much OR too little)</w:t>
            </w:r>
            <w:r w:rsidR="00CE2494">
              <w:rPr>
                <w:color w:val="7030A0"/>
              </w:rPr>
              <w:t>—this problem is increasing as complexity increases across systems of systems.</w:t>
            </w:r>
          </w:p>
          <w:p w14:paraId="6C1A55C8" w14:textId="7EC3A4CA" w:rsidR="00CE2494" w:rsidRDefault="002E51DF" w:rsidP="00CE2494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Schedule &amp; payment typically take precedence over actual content and quality, so CDR ends up being a checkbox activity without being actually meaningful</w:t>
            </w:r>
            <w:r w:rsidR="00BC23B5">
              <w:rPr>
                <w:color w:val="7030A0"/>
              </w:rPr>
              <w:t>.</w:t>
            </w:r>
          </w:p>
          <w:p w14:paraId="43624E3A" w14:textId="77777777" w:rsidR="0075698C" w:rsidRPr="00B96B95" w:rsidRDefault="0075698C" w:rsidP="00CE2494">
            <w:pPr>
              <w:ind w:left="792" w:hanging="360"/>
              <w:rPr>
                <w:color w:val="7030A0"/>
              </w:rPr>
            </w:pPr>
          </w:p>
          <w:p w14:paraId="31180FCD" w14:textId="77777777" w:rsidR="00883A65" w:rsidRDefault="00883A65" w:rsidP="00883A65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 w:rsidRPr="00B642A9">
              <w:t>What approaches (digital or otherwise) have you found successful in accelerating the SETR process while increasing (or maintaining) the efficacy of the review?</w:t>
            </w:r>
          </w:p>
          <w:p w14:paraId="1A01F9E9" w14:textId="52C830EF" w:rsidR="00AE5090" w:rsidRDefault="00AE5090" w:rsidP="00313F5B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 xml:space="preserve">Mini-CDRs: Made CDR more iterative and/or segmented </w:t>
            </w:r>
            <w:r w:rsidR="00C266B3">
              <w:rPr>
                <w:color w:val="7030A0"/>
              </w:rPr>
              <w:t>it for only portions of the system at a time.</w:t>
            </w:r>
          </w:p>
          <w:p w14:paraId="5117B3AA" w14:textId="411FA089" w:rsidR="00C266B3" w:rsidRDefault="00C266B3" w:rsidP="00313F5B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Pre-CDR held with only the technical team for detailed technical content review to ensure the design is ready prior to official CDR with PMs and other non-technical team members.</w:t>
            </w:r>
          </w:p>
          <w:p w14:paraId="434C0A1D" w14:textId="56594282" w:rsidR="00C266B3" w:rsidRDefault="00C5134C" w:rsidP="00313F5B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Govt team had ongoing access into contractors’ digital environment(s).</w:t>
            </w:r>
          </w:p>
          <w:p w14:paraId="4F52FE33" w14:textId="77777777" w:rsidR="0075698C" w:rsidRDefault="0075698C" w:rsidP="00313F5B">
            <w:pPr>
              <w:ind w:left="792" w:hanging="360"/>
              <w:rPr>
                <w:color w:val="7030A0"/>
              </w:rPr>
            </w:pPr>
          </w:p>
          <w:p w14:paraId="0322F5A8" w14:textId="77777777" w:rsidR="00883A65" w:rsidRDefault="00883A65" w:rsidP="00883A65">
            <w:pPr>
              <w:numPr>
                <w:ilvl w:val="0"/>
                <w:numId w:val="5"/>
              </w:numPr>
              <w:tabs>
                <w:tab w:val="clear" w:pos="720"/>
              </w:tabs>
              <w:ind w:left="432"/>
            </w:pPr>
            <w:r>
              <w:t>What digital tools, platforms, or methods have you used in your SETR processes? Have these been sufficient?  Expand on successes, failures or gaps.</w:t>
            </w:r>
          </w:p>
          <w:p w14:paraId="5BC3F5D2" w14:textId="1D4AD1BD" w:rsidR="00EE08DD" w:rsidRDefault="00E45826" w:rsidP="00EE08DD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Shared collaborative environment with program data</w:t>
            </w:r>
          </w:p>
          <w:p w14:paraId="3E01B3B1" w14:textId="7BAB23EC" w:rsidR="00E45826" w:rsidRDefault="00E45826" w:rsidP="00EE08DD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Auto-generated metrics (e.g. in DOORS)</w:t>
            </w:r>
          </w:p>
          <w:p w14:paraId="0CB39308" w14:textId="77777777" w:rsidR="0075698C" w:rsidRDefault="0075698C" w:rsidP="00EE08DD">
            <w:pPr>
              <w:ind w:left="792" w:hanging="360"/>
              <w:rPr>
                <w:color w:val="7030A0"/>
              </w:rPr>
            </w:pPr>
          </w:p>
          <w:p w14:paraId="6F36DAC3" w14:textId="4B04F193" w:rsidR="00883A65" w:rsidRDefault="00883A65" w:rsidP="00437028">
            <w:pPr>
              <w:numPr>
                <w:ilvl w:val="0"/>
                <w:numId w:val="5"/>
              </w:numPr>
              <w:tabs>
                <w:tab w:val="clear" w:pos="720"/>
              </w:tabs>
              <w:ind w:left="432"/>
            </w:pPr>
            <w:r w:rsidRPr="00B642A9">
              <w:t>What are the lessons learned from the approaches you've tried or participated in?</w:t>
            </w:r>
            <w:r w:rsidR="00C42655">
              <w:t xml:space="preserve"> </w:t>
            </w:r>
          </w:p>
          <w:p w14:paraId="36FFCF3A" w14:textId="22C87ED1" w:rsidR="0075698C" w:rsidRDefault="00E45826" w:rsidP="0075698C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Need to define and understand quality metrics</w:t>
            </w:r>
            <w:r w:rsidR="00997018">
              <w:rPr>
                <w:color w:val="7030A0"/>
              </w:rPr>
              <w:t>.</w:t>
            </w:r>
          </w:p>
          <w:p w14:paraId="7AC2C614" w14:textId="0BBAC058" w:rsidR="00E45826" w:rsidRDefault="008E031A" w:rsidP="0075698C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 xml:space="preserve">If there’s lots of </w:t>
            </w:r>
            <w:r w:rsidR="00121E39">
              <w:rPr>
                <w:color w:val="7030A0"/>
              </w:rPr>
              <w:t xml:space="preserve">design </w:t>
            </w:r>
            <w:r>
              <w:rPr>
                <w:color w:val="7030A0"/>
              </w:rPr>
              <w:t>churn leading up to CDR, this indicates and should be used to identify risk or ill-defined requirements</w:t>
            </w:r>
            <w:r w:rsidR="00997018">
              <w:rPr>
                <w:color w:val="7030A0"/>
              </w:rPr>
              <w:t>.</w:t>
            </w:r>
          </w:p>
          <w:p w14:paraId="3EA79D82" w14:textId="77777777" w:rsidR="00437028" w:rsidRPr="00B642A9" w:rsidRDefault="00437028" w:rsidP="00437028"/>
          <w:p w14:paraId="70865587" w14:textId="5DC73B1E" w:rsidR="00437028" w:rsidRPr="0075698C" w:rsidRDefault="0075698C" w:rsidP="00E270E4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  <w:rPr>
                <w:color w:val="FFFFFF" w:themeColor="background1"/>
              </w:rPr>
            </w:pPr>
            <w:r w:rsidRPr="0075698C">
              <w:rPr>
                <w:color w:val="FFFFFF" w:themeColor="background1"/>
              </w:rPr>
              <w:t>a</w:t>
            </w:r>
          </w:p>
          <w:p w14:paraId="275A1978" w14:textId="480E880E" w:rsidR="00883A65" w:rsidRDefault="7AF1F4A5" w:rsidP="00E270E4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</w:pPr>
            <w:r>
              <w:t xml:space="preserve">(optional) </w:t>
            </w:r>
            <w:r w:rsidR="281FB38D">
              <w:t>What</w:t>
            </w:r>
            <w:r w:rsidR="00883A65">
              <w:t xml:space="preserve"> specific cultural attributes need to change to successfully implement the approaches identified above? Are their risks or impediments, and how would you mitigate or overcome them?</w:t>
            </w:r>
          </w:p>
          <w:p w14:paraId="32DBB423" w14:textId="51EFB3FF" w:rsidR="00437028" w:rsidRDefault="00997018" w:rsidP="00437028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CDR isn’t for wordsmithing—it’s for confirming</w:t>
            </w:r>
            <w:r w:rsidR="00AF247E">
              <w:rPr>
                <w:color w:val="7030A0"/>
              </w:rPr>
              <w:t xml:space="preserve"> appropriate technical baseline.</w:t>
            </w:r>
          </w:p>
          <w:p w14:paraId="68FF2528" w14:textId="229B88C5" w:rsidR="00AF247E" w:rsidRDefault="00AF247E" w:rsidP="00437028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Even if the contractor creates and shares good models, can the government team use and understand them?</w:t>
            </w:r>
          </w:p>
          <w:p w14:paraId="39BC427D" w14:textId="25570257" w:rsidR="00AF247E" w:rsidRDefault="00AF247E" w:rsidP="00437028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Real demonstrations are better than static understanding, even in models.</w:t>
            </w:r>
          </w:p>
          <w:p w14:paraId="54FC875D" w14:textId="4A4A7825" w:rsidR="00AF247E" w:rsidRDefault="00536C87" w:rsidP="00437028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Government needs to articulate in RFP what they expect in model-based reviews.</w:t>
            </w:r>
          </w:p>
          <w:p w14:paraId="00FD1A0B" w14:textId="738B2EB8" w:rsidR="00536C87" w:rsidRDefault="00536C87" w:rsidP="00437028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Modeling your processes, including review processes, would help highlight differences</w:t>
            </w:r>
            <w:r w:rsidR="00A1336F">
              <w:rPr>
                <w:color w:val="7030A0"/>
              </w:rPr>
              <w:t>, gaps, etc. in govt approach vs. contractor approach (maybe a digitally modeled SEMP would help?).</w:t>
            </w:r>
          </w:p>
          <w:p w14:paraId="143258A5" w14:textId="77777777" w:rsidR="00437028" w:rsidRPr="00437E4A" w:rsidRDefault="00437028" w:rsidP="00437028"/>
          <w:p w14:paraId="0E7399F1" w14:textId="30DBB2AE" w:rsidR="00883A65" w:rsidRPr="00437E4A" w:rsidRDefault="00883A65" w:rsidP="68C68383"/>
          <w:p w14:paraId="11B33423" w14:textId="3539FBE4" w:rsidR="00883A65" w:rsidRPr="00437E4A" w:rsidRDefault="00883A65" w:rsidP="032EBDA6"/>
          <w:p w14:paraId="0AC2B59A" w14:textId="4A9AD1D5" w:rsidR="00883A65" w:rsidRPr="00437E4A" w:rsidRDefault="00883A65" w:rsidP="032EBDA6"/>
          <w:p w14:paraId="48E8A4B0" w14:textId="1CF26164" w:rsidR="00883A65" w:rsidRPr="00437E4A" w:rsidRDefault="00883A65" w:rsidP="63AFC611"/>
          <w:p w14:paraId="12DD05D9" w14:textId="6610479A" w:rsidR="00883A65" w:rsidRPr="00437E4A" w:rsidRDefault="00883A65" w:rsidP="00883A65"/>
        </w:tc>
      </w:tr>
      <w:tr w:rsidR="00B642A9" w:rsidRPr="00D14C8C" w14:paraId="42BC3E3E" w14:textId="77777777" w:rsidTr="3D2C5891">
        <w:trPr>
          <w:trHeight w:val="422"/>
        </w:trPr>
        <w:tc>
          <w:tcPr>
            <w:tcW w:w="10615" w:type="dxa"/>
            <w:gridSpan w:val="2"/>
            <w:shd w:val="clear" w:color="auto" w:fill="FFC000"/>
          </w:tcPr>
          <w:p w14:paraId="6C097AE3" w14:textId="43F199B9" w:rsidR="00B642A9" w:rsidRDefault="00B642A9" w:rsidP="003F5F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Session</w:t>
            </w:r>
            <w:r w:rsidRPr="00D14C8C">
              <w:rPr>
                <w:b/>
                <w:bCs/>
              </w:rPr>
              <w:t xml:space="preserve"> 1</w:t>
            </w:r>
            <w:r w:rsidR="00CB7C9A">
              <w:rPr>
                <w:b/>
                <w:bCs/>
              </w:rPr>
              <w:t xml:space="preserve"> Part 2</w:t>
            </w:r>
            <w:r w:rsidRPr="00D14C8C">
              <w:rPr>
                <w:b/>
                <w:bCs/>
              </w:rPr>
              <w:t xml:space="preserve">: </w:t>
            </w:r>
            <w:r w:rsidR="00FA4674">
              <w:rPr>
                <w:b/>
                <w:bCs/>
              </w:rPr>
              <w:t xml:space="preserve">Implementing Digital </w:t>
            </w:r>
            <w:r w:rsidRPr="00D14C8C">
              <w:rPr>
                <w:b/>
                <w:bCs/>
              </w:rPr>
              <w:t>SETR</w:t>
            </w:r>
            <w:r w:rsidR="00FA4674">
              <w:rPr>
                <w:b/>
                <w:bCs/>
              </w:rPr>
              <w:t>s</w:t>
            </w:r>
          </w:p>
        </w:tc>
      </w:tr>
      <w:tr w:rsidR="00B642A9" w14:paraId="4B42519C" w14:textId="77777777" w:rsidTr="3D2C5891">
        <w:trPr>
          <w:trHeight w:val="845"/>
        </w:trPr>
        <w:tc>
          <w:tcPr>
            <w:tcW w:w="10615" w:type="dxa"/>
            <w:gridSpan w:val="2"/>
          </w:tcPr>
          <w:p w14:paraId="605580FD" w14:textId="6C6FA279" w:rsidR="685122E1" w:rsidRDefault="685122E1" w:rsidP="00FA4674">
            <w:r>
              <w:t xml:space="preserve">For your </w:t>
            </w:r>
            <w:r w:rsidR="002C7DF6">
              <w:t>designated</w:t>
            </w:r>
            <w:r>
              <w:t xml:space="preserve"> SETR event</w:t>
            </w:r>
            <w:r w:rsidR="002C7DF6">
              <w:t>,</w:t>
            </w:r>
            <w:r>
              <w:t xml:space="preserve"> please use the space below to answer the following questions. If </w:t>
            </w:r>
            <w:r w:rsidR="1D9DF2C4">
              <w:t>continuing</w:t>
            </w:r>
            <w:r>
              <w:t xml:space="preserve"> </w:t>
            </w:r>
            <w:r w:rsidR="1D9DF2C4">
              <w:t xml:space="preserve">your answers on </w:t>
            </w:r>
            <w:r>
              <w:t>a different page, please use the question number, e.g. 1.c, to indicate what you are responding to.</w:t>
            </w:r>
          </w:p>
        </w:tc>
      </w:tr>
      <w:tr w:rsidR="005C7690" w14:paraId="18696BCE" w14:textId="77777777" w:rsidTr="007446F8">
        <w:trPr>
          <w:trHeight w:val="47"/>
        </w:trPr>
        <w:tc>
          <w:tcPr>
            <w:tcW w:w="10615" w:type="dxa"/>
            <w:gridSpan w:val="2"/>
            <w:shd w:val="clear" w:color="auto" w:fill="FFC000"/>
          </w:tcPr>
          <w:p w14:paraId="3D44EDF4" w14:textId="5029DB2C" w:rsidR="005C7690" w:rsidRDefault="005C7690" w:rsidP="00FA4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Circle your table’s designated SETR </w:t>
            </w:r>
            <w:r w:rsidR="550CD764" w:rsidRPr="250AA360">
              <w:rPr>
                <w:b/>
                <w:bCs/>
              </w:rPr>
              <w:t>Event</w:t>
            </w:r>
          </w:p>
        </w:tc>
      </w:tr>
      <w:tr w:rsidR="005C7690" w14:paraId="58EDFAEE" w14:textId="77777777" w:rsidTr="007446F8">
        <w:trPr>
          <w:trHeight w:val="47"/>
        </w:trPr>
        <w:tc>
          <w:tcPr>
            <w:tcW w:w="4405" w:type="dxa"/>
          </w:tcPr>
          <w:p w14:paraId="08640980" w14:textId="77777777" w:rsidR="005C7690" w:rsidRDefault="005C7690" w:rsidP="328B30DD">
            <w:pPr>
              <w:spacing w:before="120"/>
            </w:pPr>
            <w:r>
              <w:t>1.  Systems Requirements Review (SRR)</w:t>
            </w:r>
          </w:p>
          <w:p w14:paraId="00CD25B5" w14:textId="77777777" w:rsidR="005C7690" w:rsidRDefault="005C7690" w:rsidP="328B30DD">
            <w:pPr>
              <w:spacing w:before="120"/>
            </w:pPr>
            <w:r>
              <w:t>2.  Systems Functional Review (SFR)</w:t>
            </w:r>
          </w:p>
          <w:p w14:paraId="592C38B1" w14:textId="77777777" w:rsidR="005C7690" w:rsidRDefault="005C7690" w:rsidP="328B30DD">
            <w:pPr>
              <w:spacing w:before="120"/>
            </w:pPr>
            <w:r>
              <w:t>3.  Preliminary Design Review (PDR)</w:t>
            </w:r>
          </w:p>
          <w:p w14:paraId="46838451" w14:textId="1087B107" w:rsidR="005C7690" w:rsidRDefault="005C7690" w:rsidP="328B30DD">
            <w:pPr>
              <w:spacing w:before="120"/>
              <w:rPr>
                <w:b/>
                <w:bCs/>
              </w:rPr>
            </w:pPr>
            <w:r w:rsidRPr="00364CD9">
              <w:rPr>
                <w:highlight w:val="yellow"/>
              </w:rPr>
              <w:t>4.  Critical Design Review (CDR)</w:t>
            </w:r>
          </w:p>
        </w:tc>
        <w:tc>
          <w:tcPr>
            <w:tcW w:w="6210" w:type="dxa"/>
          </w:tcPr>
          <w:p w14:paraId="4A3078D8" w14:textId="77777777" w:rsidR="005C7690" w:rsidRDefault="005C7690" w:rsidP="328B30DD">
            <w:pPr>
              <w:spacing w:before="120"/>
            </w:pPr>
            <w:r>
              <w:t xml:space="preserve">5.  Test Readiness Review (TRR) </w:t>
            </w:r>
          </w:p>
          <w:p w14:paraId="4098D21B" w14:textId="77777777" w:rsidR="005C7690" w:rsidRDefault="005C7690" w:rsidP="328B30DD">
            <w:pPr>
              <w:spacing w:before="120"/>
            </w:pPr>
            <w:r>
              <w:t xml:space="preserve">6.  System Verification Review/Functional Configuration Audit </w:t>
            </w:r>
          </w:p>
          <w:p w14:paraId="41C13544" w14:textId="77777777" w:rsidR="005C7690" w:rsidRDefault="005C7690" w:rsidP="328B30DD">
            <w:pPr>
              <w:spacing w:before="120"/>
            </w:pPr>
            <w:r>
              <w:t xml:space="preserve">7.  Production Readiness Review (PRR) </w:t>
            </w:r>
          </w:p>
          <w:p w14:paraId="0DDC5678" w14:textId="2C255B47" w:rsidR="005C7690" w:rsidRDefault="005C7690" w:rsidP="328B30DD">
            <w:pPr>
              <w:spacing w:before="120"/>
              <w:rPr>
                <w:b/>
                <w:bCs/>
              </w:rPr>
            </w:pPr>
            <w:r>
              <w:t>8.  Physical Configuration Audit (PCA)</w:t>
            </w:r>
          </w:p>
        </w:tc>
      </w:tr>
      <w:tr w:rsidR="005C7690" w14:paraId="49F755DE" w14:textId="77777777" w:rsidTr="3D2C5891">
        <w:trPr>
          <w:trHeight w:val="2618"/>
        </w:trPr>
        <w:tc>
          <w:tcPr>
            <w:tcW w:w="10615" w:type="dxa"/>
            <w:gridSpan w:val="2"/>
          </w:tcPr>
          <w:p w14:paraId="673E055E" w14:textId="77777777" w:rsidR="005C7690" w:rsidRPr="00FA4674" w:rsidRDefault="005C7690" w:rsidP="005C7690">
            <w:pPr>
              <w:rPr>
                <w:b/>
                <w:bCs/>
              </w:rPr>
            </w:pPr>
            <w:r w:rsidRPr="2094B522">
              <w:rPr>
                <w:b/>
                <w:bCs/>
              </w:rPr>
              <w:t>Specific Digital SETR Gate Criteria (as specified by your table marker)</w:t>
            </w:r>
          </w:p>
          <w:p w14:paraId="5160D2AB" w14:textId="77777777" w:rsidR="005C7690" w:rsidRPr="00F22E41" w:rsidRDefault="005C7690" w:rsidP="005C7690">
            <w:r>
              <w:t>For the Digital Engineering criteria proposed for your selected SETR event in the provided “Digital SETR Gate Criteria” document,</w:t>
            </w:r>
          </w:p>
          <w:p w14:paraId="0A7EDD11" w14:textId="77777777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>Do the listed digital engineering criteria make sense for your selected SETR event?</w:t>
            </w:r>
          </w:p>
          <w:p w14:paraId="5B6D0F49" w14:textId="694C32AD" w:rsidR="00121E39" w:rsidRDefault="00FA4662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Language is too vague—you could drive a truck through it.</w:t>
            </w:r>
          </w:p>
          <w:p w14:paraId="799730FB" w14:textId="7E76B34E" w:rsidR="00FA4662" w:rsidRDefault="00FA4662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SEMPs need to be better and define how govt and contractor are supposed to collaborate digitally to do systems engineering.</w:t>
            </w:r>
          </w:p>
          <w:p w14:paraId="1470FEE4" w14:textId="7552D39F" w:rsidR="00FA4662" w:rsidRDefault="00C22BAC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Need to specify what the digital thread is and what requirements are being referenced.</w:t>
            </w:r>
          </w:p>
          <w:p w14:paraId="7A7829E0" w14:textId="77777777" w:rsidR="00121E39" w:rsidRDefault="00121E39" w:rsidP="00121E39"/>
          <w:p w14:paraId="3FF37AB7" w14:textId="77777777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 xml:space="preserve">Are there any criteria you would add, change, or remove?  (Annotate the Gate Criteria doc if helpful) </w:t>
            </w:r>
          </w:p>
          <w:p w14:paraId="34349097" w14:textId="18CD4A3E" w:rsidR="00121E39" w:rsidRDefault="00C22BAC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Specific access into the contractor’s shared environment for real-time collaboration.</w:t>
            </w:r>
          </w:p>
          <w:p w14:paraId="7774D04D" w14:textId="3E59A171" w:rsidR="00C22BAC" w:rsidRDefault="00C22BAC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CDRLs need to be revamped.</w:t>
            </w:r>
          </w:p>
          <w:p w14:paraId="2180EB4B" w14:textId="6F89446E" w:rsidR="00C22BAC" w:rsidRDefault="00C22BAC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 xml:space="preserve">Need </w:t>
            </w:r>
            <w:r w:rsidR="00BB6952">
              <w:rPr>
                <w:color w:val="7030A0"/>
              </w:rPr>
              <w:t>demonstration deliverables—be concerned with the actual design, don’t just call for a box-checking artifact that ends up being shelfware.</w:t>
            </w:r>
          </w:p>
          <w:p w14:paraId="7AFAAF46" w14:textId="75E9DD40" w:rsidR="00BB6952" w:rsidRDefault="00BB6952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Models need to integrate-able and usable on the government side, not just delivered by the contractor.</w:t>
            </w:r>
          </w:p>
          <w:p w14:paraId="11720044" w14:textId="77777777" w:rsidR="00121E39" w:rsidRDefault="00121E39" w:rsidP="00121E39"/>
          <w:p w14:paraId="7AB79864" w14:textId="2EAAE611" w:rsidR="005C7690" w:rsidRDefault="005C7690" w:rsidP="005C7690">
            <w:pPr>
              <w:numPr>
                <w:ilvl w:val="0"/>
                <w:numId w:val="8"/>
              </w:numPr>
              <w:ind w:left="432"/>
            </w:pPr>
            <w:r>
              <w:t xml:space="preserve">Do the listed criteria represent a reasonable digital maturity for the SETR event? </w:t>
            </w:r>
          </w:p>
          <w:p w14:paraId="56381B79" w14:textId="12A2750A" w:rsidR="00121E39" w:rsidRDefault="000C2C38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Need more than MBSE requirements</w:t>
            </w:r>
            <w:r w:rsidR="009B1DCD">
              <w:rPr>
                <w:color w:val="7030A0"/>
              </w:rPr>
              <w:t>.</w:t>
            </w:r>
          </w:p>
          <w:p w14:paraId="6E58131D" w14:textId="1B2918A0" w:rsidR="000C2C38" w:rsidRDefault="000C2C38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Need requirements for non-engineering portions of CDR requirements (e.g. logistics</w:t>
            </w:r>
            <w:r w:rsidR="00B97F02">
              <w:rPr>
                <w:color w:val="7030A0"/>
              </w:rPr>
              <w:t xml:space="preserve"> concerns like sparing postures, updates to technical orders, lifecycle sustainment plan, etc.)</w:t>
            </w:r>
            <w:r w:rsidR="009B1DCD">
              <w:rPr>
                <w:color w:val="7030A0"/>
              </w:rPr>
              <w:t>.</w:t>
            </w:r>
          </w:p>
          <w:p w14:paraId="3189910F" w14:textId="479E3376" w:rsidR="00B97F02" w:rsidRDefault="009B1DCD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Design needs to be understandable to the whole team, not just your systems engineers.</w:t>
            </w:r>
          </w:p>
          <w:p w14:paraId="68E83A43" w14:textId="080DCABE" w:rsidR="009B1DCD" w:rsidRDefault="009B1DCD" w:rsidP="00121E39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>Clarify which models will be included in CDR, including things like manufacturability, testability, etc.</w:t>
            </w:r>
          </w:p>
          <w:p w14:paraId="26D38933" w14:textId="77777777" w:rsidR="00121E39" w:rsidRPr="00F22E41" w:rsidRDefault="00121E39" w:rsidP="00121E39"/>
          <w:p w14:paraId="6CC47F36" w14:textId="33BE658A" w:rsidR="005C7690" w:rsidRPr="00B642A9" w:rsidRDefault="005C7690" w:rsidP="005C7690">
            <w:pPr>
              <w:rPr>
                <w:b/>
                <w:bCs/>
              </w:rPr>
            </w:pPr>
          </w:p>
          <w:p w14:paraId="24FF5218" w14:textId="7D64B847" w:rsidR="005C7690" w:rsidRPr="00B642A9" w:rsidRDefault="005C7690" w:rsidP="005C7690">
            <w:pPr>
              <w:rPr>
                <w:b/>
                <w:bCs/>
              </w:rPr>
            </w:pPr>
          </w:p>
          <w:p w14:paraId="1B40EAA0" w14:textId="07E9D969" w:rsidR="005C7690" w:rsidRPr="00B642A9" w:rsidRDefault="005C7690" w:rsidP="005C7690">
            <w:pPr>
              <w:rPr>
                <w:b/>
                <w:bCs/>
              </w:rPr>
            </w:pPr>
          </w:p>
          <w:p w14:paraId="7F6713ED" w14:textId="3B28E479" w:rsidR="005C7690" w:rsidRPr="00B642A9" w:rsidRDefault="005C7690" w:rsidP="005C7690">
            <w:pPr>
              <w:rPr>
                <w:b/>
                <w:bCs/>
              </w:rPr>
            </w:pPr>
          </w:p>
          <w:p w14:paraId="0E7E930C" w14:textId="0665F5F9" w:rsidR="005C7690" w:rsidRPr="00B642A9" w:rsidRDefault="005C7690" w:rsidP="005C7690">
            <w:pPr>
              <w:rPr>
                <w:b/>
                <w:bCs/>
              </w:rPr>
            </w:pPr>
          </w:p>
          <w:p w14:paraId="610770E1" w14:textId="6B2492CF" w:rsidR="005C7690" w:rsidRPr="00B642A9" w:rsidRDefault="005C7690" w:rsidP="005C7690">
            <w:pPr>
              <w:rPr>
                <w:b/>
                <w:bCs/>
              </w:rPr>
            </w:pPr>
          </w:p>
          <w:p w14:paraId="11D6419C" w14:textId="78A0D738" w:rsidR="005C7690" w:rsidRPr="00B642A9" w:rsidRDefault="005C7690" w:rsidP="005C7690">
            <w:pPr>
              <w:rPr>
                <w:b/>
                <w:bCs/>
              </w:rPr>
            </w:pPr>
          </w:p>
          <w:p w14:paraId="0C83A46C" w14:textId="7D221D70" w:rsidR="005C7690" w:rsidRPr="00B642A9" w:rsidRDefault="005C7690" w:rsidP="005C7690">
            <w:pPr>
              <w:rPr>
                <w:b/>
                <w:bCs/>
              </w:rPr>
            </w:pPr>
          </w:p>
          <w:p w14:paraId="323EFBC1" w14:textId="08DE098F" w:rsidR="005C7690" w:rsidRPr="00B642A9" w:rsidRDefault="005C7690" w:rsidP="005C7690">
            <w:pPr>
              <w:rPr>
                <w:b/>
                <w:bCs/>
              </w:rPr>
            </w:pPr>
          </w:p>
          <w:p w14:paraId="45E6B92D" w14:textId="7BCE5995" w:rsidR="005C7690" w:rsidRPr="00B642A9" w:rsidRDefault="005C7690" w:rsidP="005C7690">
            <w:pPr>
              <w:rPr>
                <w:b/>
                <w:bCs/>
              </w:rPr>
            </w:pPr>
          </w:p>
          <w:p w14:paraId="45A5496B" w14:textId="6890ED59" w:rsidR="005C7690" w:rsidRPr="00B642A9" w:rsidRDefault="005C7690" w:rsidP="005C7690">
            <w:pPr>
              <w:rPr>
                <w:b/>
                <w:bCs/>
              </w:rPr>
            </w:pPr>
          </w:p>
          <w:p w14:paraId="55C0367E" w14:textId="342FCBC9" w:rsidR="00D67F95" w:rsidRPr="2094B522" w:rsidRDefault="00D67F95" w:rsidP="005C7690">
            <w:pPr>
              <w:rPr>
                <w:b/>
                <w:bCs/>
              </w:rPr>
            </w:pPr>
          </w:p>
        </w:tc>
      </w:tr>
    </w:tbl>
    <w:p w14:paraId="56A53C45" w14:textId="69C6F970" w:rsidR="328B30DD" w:rsidRDefault="328B30DD" w:rsidP="328B3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3D2C5891" w14:paraId="54D3C092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03BABC2A" w14:textId="4EA4D1CC" w:rsidR="469F76D0" w:rsidRPr="008E5469" w:rsidRDefault="469F76D0" w:rsidP="3D2C5891">
            <w:pPr>
              <w:rPr>
                <w:b/>
                <w:bCs/>
                <w:color w:val="7030A0"/>
              </w:rPr>
            </w:pPr>
            <w:r w:rsidRPr="3D2C5891">
              <w:rPr>
                <w:b/>
                <w:bCs/>
              </w:rPr>
              <w:lastRenderedPageBreak/>
              <w:t xml:space="preserve">Table Number:   </w:t>
            </w:r>
            <w:r w:rsidR="008E5469" w:rsidRPr="008E5469">
              <w:rPr>
                <w:b/>
                <w:bCs/>
                <w:color w:val="7030A0"/>
              </w:rPr>
              <w:t>CDR</w:t>
            </w:r>
            <w:r w:rsidRPr="3D2C5891">
              <w:rPr>
                <w:b/>
                <w:bCs/>
              </w:rPr>
              <w:t xml:space="preserve">                                                      Facilitator Name:</w:t>
            </w:r>
            <w:r w:rsidR="008E5469">
              <w:rPr>
                <w:b/>
                <w:bCs/>
              </w:rPr>
              <w:t xml:space="preserve">   </w:t>
            </w:r>
            <w:r w:rsidR="008E5469">
              <w:rPr>
                <w:b/>
                <w:bCs/>
                <w:color w:val="7030A0"/>
              </w:rPr>
              <w:t>Amber Gilbert</w:t>
            </w:r>
          </w:p>
        </w:tc>
      </w:tr>
      <w:tr w:rsidR="328B30DD" w14:paraId="7CF33BB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05891D9D" w14:textId="06AA6357" w:rsidR="328B30DD" w:rsidRDefault="328B30DD" w:rsidP="328B30DD">
            <w:pPr>
              <w:rPr>
                <w:b/>
                <w:bCs/>
              </w:rPr>
            </w:pPr>
            <w:r w:rsidRPr="328B30DD">
              <w:rPr>
                <w:b/>
                <w:bCs/>
              </w:rPr>
              <w:t>Session 2:  Future State of Technical Reviews</w:t>
            </w:r>
          </w:p>
        </w:tc>
      </w:tr>
      <w:tr w:rsidR="328B30DD" w14:paraId="412F5A94" w14:textId="77777777" w:rsidTr="3D2C5891">
        <w:trPr>
          <w:trHeight w:val="300"/>
        </w:trPr>
        <w:tc>
          <w:tcPr>
            <w:tcW w:w="10615" w:type="dxa"/>
          </w:tcPr>
          <w:p w14:paraId="4F74E965" w14:textId="3316DF78" w:rsidR="328B30DD" w:rsidRDefault="328B30DD">
            <w:r>
              <w:t xml:space="preserve">Under the premise that we are now in 2045 where DMM has been actualized, what would the process of technical reviews be? </w:t>
            </w:r>
          </w:p>
          <w:p w14:paraId="59D2303C" w14:textId="6C1BECA4" w:rsidR="328B30DD" w:rsidRDefault="328B30DD"/>
          <w:p w14:paraId="67E61EBF" w14:textId="61B193E1" w:rsidR="00D05C0D" w:rsidRDefault="328B30DD" w:rsidP="00266283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266283">
              <w:rPr>
                <w:rFonts w:eastAsiaTheme="minorEastAsia"/>
              </w:rPr>
              <w:t>How would you change / eliminate / redesign the technical reviews in this new world?</w:t>
            </w:r>
          </w:p>
          <w:p w14:paraId="7DCA32D4" w14:textId="5D61B080" w:rsidR="00266283" w:rsidRDefault="005C5981" w:rsidP="00266283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 xml:space="preserve">Probably do still need some level of </w:t>
            </w:r>
            <w:r w:rsidR="008A3277">
              <w:rPr>
                <w:color w:val="7030A0"/>
              </w:rPr>
              <w:t>technical review process, because our contracts need governance and validated designs.</w:t>
            </w:r>
          </w:p>
          <w:p w14:paraId="77DD8FC8" w14:textId="21DB78C2" w:rsidR="008A3277" w:rsidRDefault="008A3277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Doesn’t have to be one big-bang event, though. </w:t>
            </w:r>
            <w:r w:rsidR="007D1A90">
              <w:rPr>
                <w:color w:val="7030A0"/>
              </w:rPr>
              <w:t>Better option would be i</w:t>
            </w:r>
            <w:r>
              <w:rPr>
                <w:color w:val="7030A0"/>
              </w:rPr>
              <w:t xml:space="preserve">terative reviews of smaller </w:t>
            </w:r>
            <w:r w:rsidR="007D1A90">
              <w:rPr>
                <w:color w:val="7030A0"/>
              </w:rPr>
              <w:t>increments, then rolling up into system perspective of design and risk.</w:t>
            </w:r>
          </w:p>
          <w:p w14:paraId="524002E8" w14:textId="1FED6D3F" w:rsidR="007D1A90" w:rsidRDefault="007D1A90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Clearly define what critical design requirements are for each increment</w:t>
            </w:r>
            <w:r w:rsidR="006B3429">
              <w:rPr>
                <w:color w:val="7030A0"/>
              </w:rPr>
              <w:t>—need insight on feasibility of the design in ALL functional areas (again, not just systems engineering).</w:t>
            </w:r>
          </w:p>
          <w:p w14:paraId="6A0DE2B2" w14:textId="79623C0D" w:rsidR="006B3429" w:rsidRDefault="006B3429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Limit attendance to decision-makers.</w:t>
            </w:r>
          </w:p>
          <w:p w14:paraId="4098549A" w14:textId="65DC81FC" w:rsidR="006B3429" w:rsidRDefault="001735B8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Include design review plan and criteria up-front—plan how your increments/subsystems will be driven toward convergence.</w:t>
            </w:r>
          </w:p>
          <w:p w14:paraId="37404050" w14:textId="23CAEAE4" w:rsidR="00E77526" w:rsidRDefault="00E77526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Test environment needs to be understood/available from the start to validate testability and model integration as you go.</w:t>
            </w:r>
          </w:p>
          <w:p w14:paraId="7137CA36" w14:textId="16B2F6A6" w:rsidR="00E77526" w:rsidRDefault="00E77526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Automate as much as possible.</w:t>
            </w:r>
          </w:p>
          <w:p w14:paraId="0ABE150F" w14:textId="0AD58AD5" w:rsidR="00E77526" w:rsidRDefault="00E77526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Review </w:t>
            </w:r>
            <w:proofErr w:type="spellStart"/>
            <w:r>
              <w:rPr>
                <w:color w:val="7030A0"/>
              </w:rPr>
              <w:t>tradespace</w:t>
            </w:r>
            <w:proofErr w:type="spellEnd"/>
            <w:r>
              <w:rPr>
                <w:color w:val="7030A0"/>
              </w:rPr>
              <w:t xml:space="preserve"> of options</w:t>
            </w:r>
            <w:r w:rsidR="00C479E1">
              <w:rPr>
                <w:color w:val="7030A0"/>
              </w:rPr>
              <w:t xml:space="preserve"> with defined impacts to cost, schedule, performance, logistics, etc. for each risk item, then make determinations based on which risks the govt is willing to take on &amp; how (rather than </w:t>
            </w:r>
            <w:r w:rsidR="00B71883">
              <w:rPr>
                <w:color w:val="7030A0"/>
              </w:rPr>
              <w:t>“here’s the risk and here’s the single mitigation plan”).</w:t>
            </w:r>
          </w:p>
          <w:p w14:paraId="3B64C092" w14:textId="684835D9" w:rsidR="00B71883" w:rsidRDefault="00B71883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 xml:space="preserve">Govt team needs to understand how to perform these reviews. </w:t>
            </w:r>
            <w:r w:rsidR="00402308">
              <w:rPr>
                <w:color w:val="7030A0"/>
              </w:rPr>
              <w:t>There needs to be a p</w:t>
            </w:r>
            <w:r>
              <w:rPr>
                <w:color w:val="7030A0"/>
              </w:rPr>
              <w:t>redefined approach</w:t>
            </w:r>
            <w:r w:rsidR="00402308">
              <w:rPr>
                <w:color w:val="7030A0"/>
              </w:rPr>
              <w:t xml:space="preserve"> which teams on both sides have agreed to regarding how they’ll do reviews.</w:t>
            </w:r>
          </w:p>
          <w:p w14:paraId="71F254F2" w14:textId="61E7E5ED" w:rsidR="00402308" w:rsidRDefault="00FB5D10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Have tailorable review processes defined for other contracting approaches that teams can pick from.</w:t>
            </w:r>
          </w:p>
          <w:p w14:paraId="189D3463" w14:textId="0935CA7D" w:rsidR="00FB5D10" w:rsidRDefault="00FB5D10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Use AI/ML to assist with analysis, traceability review, etc.</w:t>
            </w:r>
          </w:p>
          <w:p w14:paraId="44FE20A6" w14:textId="45CD6332" w:rsidR="00FB5D10" w:rsidRDefault="00FB5D10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Use “Digital Twins” to really assess and validate designs. (Meaning detailed 3D</w:t>
            </w:r>
            <w:r w:rsidR="00467D3F">
              <w:rPr>
                <w:color w:val="7030A0"/>
              </w:rPr>
              <w:t>, physics-based</w:t>
            </w:r>
            <w:r>
              <w:rPr>
                <w:color w:val="7030A0"/>
              </w:rPr>
              <w:t xml:space="preserve"> models</w:t>
            </w:r>
            <w:r w:rsidR="00467D3F">
              <w:rPr>
                <w:color w:val="7030A0"/>
              </w:rPr>
              <w:t>)</w:t>
            </w:r>
          </w:p>
          <w:p w14:paraId="02838EA7" w14:textId="56883D8A" w:rsidR="00FB5D10" w:rsidRDefault="00FB5D10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Use AI</w:t>
            </w:r>
            <w:r w:rsidR="00467D3F">
              <w:rPr>
                <w:color w:val="7030A0"/>
              </w:rPr>
              <w:t xml:space="preserve"> to walk through reviews, document them, query the outputs later</w:t>
            </w:r>
            <w:r w:rsidR="007D62C3">
              <w:rPr>
                <w:color w:val="7030A0"/>
              </w:rPr>
              <w:t>. Use AI to determine if even ready for a review before deciding to have one (need clearly defined criteria, and have the tool identify areas where we’re not yet ready, if that’s the case)</w:t>
            </w:r>
            <w:r w:rsidR="00097DAC">
              <w:rPr>
                <w:color w:val="7030A0"/>
              </w:rPr>
              <w:t>.</w:t>
            </w:r>
            <w:r w:rsidR="006C0B17">
              <w:rPr>
                <w:color w:val="7030A0"/>
              </w:rPr>
              <w:t xml:space="preserve"> Will need AI personas based on the different functional areas to make this assessment.</w:t>
            </w:r>
          </w:p>
          <w:p w14:paraId="65569E96" w14:textId="69183E1E" w:rsidR="00097DAC" w:rsidRDefault="00097DAC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There should be no document-based criteria—criteria are based on the design components being reviewed.</w:t>
            </w:r>
          </w:p>
          <w:p w14:paraId="71759988" w14:textId="6848E4C5" w:rsidR="00BD4602" w:rsidRPr="008A3277" w:rsidRDefault="00BD4602" w:rsidP="008A3277">
            <w:pPr>
              <w:pStyle w:val="ListParagraph"/>
              <w:numPr>
                <w:ilvl w:val="0"/>
                <w:numId w:val="11"/>
              </w:numPr>
              <w:rPr>
                <w:color w:val="7030A0"/>
              </w:rPr>
            </w:pPr>
            <w:r>
              <w:rPr>
                <w:color w:val="7030A0"/>
              </w:rPr>
              <w:t>Include test &amp; operations early and throughout the design review process so they can confirm the design and models will meet their needs/requirements.</w:t>
            </w:r>
          </w:p>
          <w:p w14:paraId="1B5B150E" w14:textId="77777777" w:rsidR="00266283" w:rsidRDefault="00266283" w:rsidP="00266283">
            <w:pPr>
              <w:rPr>
                <w:rFonts w:eastAsiaTheme="minorEastAsia"/>
              </w:rPr>
            </w:pPr>
          </w:p>
          <w:p w14:paraId="72A6BB46" w14:textId="77777777" w:rsidR="000D7E87" w:rsidRDefault="000D7E87" w:rsidP="00266283">
            <w:pPr>
              <w:rPr>
                <w:rFonts w:eastAsiaTheme="minorEastAsia"/>
              </w:rPr>
            </w:pPr>
          </w:p>
          <w:p w14:paraId="0CEC25F3" w14:textId="77777777" w:rsidR="000D7E87" w:rsidRDefault="000D7E87" w:rsidP="00266283">
            <w:pPr>
              <w:rPr>
                <w:rFonts w:eastAsiaTheme="minorEastAsia"/>
              </w:rPr>
            </w:pPr>
          </w:p>
          <w:p w14:paraId="5FA46CCB" w14:textId="77777777" w:rsidR="000D7E87" w:rsidRDefault="000D7E87" w:rsidP="00266283">
            <w:pPr>
              <w:rPr>
                <w:rFonts w:eastAsiaTheme="minorEastAsia"/>
              </w:rPr>
            </w:pPr>
          </w:p>
          <w:p w14:paraId="75FC8884" w14:textId="77777777" w:rsidR="000D7E87" w:rsidRDefault="000D7E87" w:rsidP="00266283">
            <w:pPr>
              <w:rPr>
                <w:rFonts w:eastAsiaTheme="minorEastAsia"/>
              </w:rPr>
            </w:pPr>
          </w:p>
          <w:p w14:paraId="5C3284B1" w14:textId="77777777" w:rsidR="000D7E87" w:rsidRDefault="000D7E87" w:rsidP="00266283">
            <w:pPr>
              <w:rPr>
                <w:rFonts w:eastAsiaTheme="minorEastAsia"/>
              </w:rPr>
            </w:pPr>
          </w:p>
          <w:p w14:paraId="7ED7170D" w14:textId="77777777" w:rsidR="000D7E87" w:rsidRDefault="000D7E87" w:rsidP="00266283">
            <w:pPr>
              <w:rPr>
                <w:rFonts w:eastAsiaTheme="minorEastAsia"/>
              </w:rPr>
            </w:pPr>
          </w:p>
          <w:p w14:paraId="355A7858" w14:textId="77777777" w:rsidR="000D7E87" w:rsidRDefault="000D7E87" w:rsidP="00266283">
            <w:pPr>
              <w:rPr>
                <w:rFonts w:eastAsiaTheme="minorEastAsia"/>
              </w:rPr>
            </w:pPr>
          </w:p>
          <w:p w14:paraId="0497D668" w14:textId="77777777" w:rsidR="000D7E87" w:rsidRDefault="000D7E87" w:rsidP="00266283">
            <w:pPr>
              <w:rPr>
                <w:rFonts w:eastAsiaTheme="minorEastAsia"/>
              </w:rPr>
            </w:pPr>
          </w:p>
          <w:p w14:paraId="03855661" w14:textId="77777777" w:rsidR="000D7E87" w:rsidRDefault="000D7E87" w:rsidP="00266283">
            <w:pPr>
              <w:rPr>
                <w:rFonts w:eastAsiaTheme="minorEastAsia"/>
              </w:rPr>
            </w:pPr>
          </w:p>
          <w:p w14:paraId="5D574DD3" w14:textId="77777777" w:rsidR="000D7E87" w:rsidRDefault="000D7E87" w:rsidP="00266283">
            <w:pPr>
              <w:rPr>
                <w:rFonts w:eastAsiaTheme="minorEastAsia"/>
              </w:rPr>
            </w:pPr>
          </w:p>
          <w:p w14:paraId="44CC3CD3" w14:textId="77777777" w:rsidR="000D7E87" w:rsidRDefault="000D7E87" w:rsidP="00266283">
            <w:pPr>
              <w:rPr>
                <w:rFonts w:eastAsiaTheme="minorEastAsia"/>
              </w:rPr>
            </w:pPr>
          </w:p>
          <w:p w14:paraId="24A7687B" w14:textId="77777777" w:rsidR="000D7E87" w:rsidRPr="00266283" w:rsidRDefault="000D7E87" w:rsidP="00266283">
            <w:pPr>
              <w:rPr>
                <w:rFonts w:eastAsiaTheme="minorEastAsia"/>
              </w:rPr>
            </w:pPr>
          </w:p>
          <w:p w14:paraId="43D2EF6E" w14:textId="32DC142A" w:rsidR="328B30DD" w:rsidRDefault="00266283" w:rsidP="005A00B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266283">
              <w:rPr>
                <w:rFonts w:eastAsiaTheme="minorEastAsia"/>
              </w:rPr>
              <w:lastRenderedPageBreak/>
              <w:t>M</w:t>
            </w:r>
            <w:r w:rsidR="328B30DD" w:rsidRPr="00266283">
              <w:rPr>
                <w:rFonts w:eastAsiaTheme="minorEastAsia"/>
              </w:rPr>
              <w:t>ap out the new technical reviews process to make it a reality</w:t>
            </w:r>
          </w:p>
          <w:p w14:paraId="7A09D238" w14:textId="6C7B5085" w:rsidR="00266283" w:rsidRDefault="00E43371" w:rsidP="00266283">
            <w:pPr>
              <w:ind w:left="792" w:hanging="360"/>
              <w:rPr>
                <w:color w:val="7030A0"/>
              </w:rPr>
            </w:pPr>
            <w:r>
              <w:rPr>
                <w:color w:val="7030A0"/>
              </w:rPr>
              <w:t xml:space="preserve">This process applies to iterative, mini-CDRs—but those mini-CDRs </w:t>
            </w:r>
            <w:r>
              <w:rPr>
                <w:color w:val="7030A0"/>
                <w:u w:val="single"/>
              </w:rPr>
              <w:t>always</w:t>
            </w:r>
            <w:r>
              <w:rPr>
                <w:color w:val="7030A0"/>
              </w:rPr>
              <w:t xml:space="preserve"> need to include information on how </w:t>
            </w:r>
            <w:r w:rsidR="0090304D">
              <w:rPr>
                <w:color w:val="7030A0"/>
              </w:rPr>
              <w:t>their risks and impacts roll up to the systems level.</w:t>
            </w:r>
            <w:r w:rsidR="005F7D31">
              <w:rPr>
                <w:color w:val="7030A0"/>
              </w:rPr>
              <w:t xml:space="preserve"> </w:t>
            </w:r>
          </w:p>
          <w:p w14:paraId="42F0BD46" w14:textId="77777777" w:rsidR="005F7D31" w:rsidRDefault="005F7D31" w:rsidP="00266283">
            <w:pPr>
              <w:ind w:left="792" w:hanging="360"/>
              <w:rPr>
                <w:color w:val="7030A0"/>
              </w:rPr>
            </w:pPr>
          </w:p>
          <w:p w14:paraId="156F1D9D" w14:textId="269A29A5" w:rsidR="0090304D" w:rsidRPr="00E43371" w:rsidRDefault="0072546E" w:rsidP="00266283">
            <w:pPr>
              <w:ind w:left="792" w:hanging="360"/>
              <w:rPr>
                <w:color w:val="7030A0"/>
              </w:rPr>
            </w:pPr>
            <w:r>
              <w:rPr>
                <w:noProof/>
                <w:color w:val="7030A0"/>
              </w:rPr>
              <w:drawing>
                <wp:inline distT="0" distB="0" distL="0" distR="0" wp14:anchorId="033C5844" wp14:editId="1A3E14F8">
                  <wp:extent cx="5486400" cy="5257800"/>
                  <wp:effectExtent l="0" t="0" r="0" b="19050"/>
                  <wp:docPr id="83516662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14:paraId="3F16BA35" w14:textId="77777777" w:rsidR="00266283" w:rsidRPr="00266283" w:rsidRDefault="00266283" w:rsidP="00266283">
            <w:pPr>
              <w:rPr>
                <w:rFonts w:eastAsiaTheme="minorEastAsia" w:hint="eastAsia"/>
              </w:rPr>
            </w:pPr>
          </w:p>
          <w:p w14:paraId="64CCD4C6" w14:textId="46E8D609" w:rsidR="328B30DD" w:rsidRDefault="328B30DD" w:rsidP="328B30DD">
            <w:pPr>
              <w:rPr>
                <w:rFonts w:eastAsiaTheme="minorEastAsia" w:hint="eastAsia"/>
              </w:rPr>
            </w:pPr>
          </w:p>
          <w:p w14:paraId="71F92D7F" w14:textId="305472E4" w:rsidR="328B30DD" w:rsidRDefault="328B30DD" w:rsidP="328B30DD">
            <w:pPr>
              <w:rPr>
                <w:rFonts w:eastAsiaTheme="minorEastAsia" w:hint="eastAsia"/>
              </w:rPr>
            </w:pPr>
          </w:p>
          <w:p w14:paraId="62731E24" w14:textId="7561AB86" w:rsidR="328B30DD" w:rsidRDefault="328B30DD" w:rsidP="328B30DD">
            <w:pPr>
              <w:rPr>
                <w:rFonts w:eastAsiaTheme="minorEastAsia" w:hint="eastAsia"/>
              </w:rPr>
            </w:pPr>
          </w:p>
          <w:p w14:paraId="75AC3A2D" w14:textId="4B7DE69D" w:rsidR="328B30DD" w:rsidRDefault="328B30DD" w:rsidP="328B30DD">
            <w:pPr>
              <w:rPr>
                <w:rFonts w:eastAsiaTheme="minorEastAsia" w:hint="eastAsia"/>
              </w:rPr>
            </w:pPr>
          </w:p>
          <w:p w14:paraId="7F7ADBE4" w14:textId="2252E954" w:rsidR="328B30DD" w:rsidRDefault="328B30DD" w:rsidP="328B30DD">
            <w:pPr>
              <w:rPr>
                <w:rFonts w:eastAsiaTheme="minorEastAsia" w:hint="eastAsia"/>
              </w:rPr>
            </w:pPr>
          </w:p>
          <w:p w14:paraId="5500E6C8" w14:textId="2453685D" w:rsidR="328B30DD" w:rsidRDefault="328B30DD" w:rsidP="328B30DD">
            <w:pPr>
              <w:rPr>
                <w:rFonts w:eastAsiaTheme="minorEastAsia" w:hint="eastAsia"/>
              </w:rPr>
            </w:pPr>
          </w:p>
          <w:p w14:paraId="1B65B07D" w14:textId="745C73C4" w:rsidR="328B30DD" w:rsidRDefault="328B30DD" w:rsidP="328B30DD">
            <w:pPr>
              <w:rPr>
                <w:rFonts w:eastAsiaTheme="minorEastAsia" w:hint="eastAsia"/>
              </w:rPr>
            </w:pPr>
          </w:p>
          <w:p w14:paraId="01E4EBCA" w14:textId="0E49950E" w:rsidR="328B30DD" w:rsidRDefault="328B30DD" w:rsidP="328B30DD">
            <w:pPr>
              <w:rPr>
                <w:rFonts w:eastAsiaTheme="minorEastAsia" w:hint="eastAsia"/>
              </w:rPr>
            </w:pPr>
          </w:p>
          <w:p w14:paraId="59CBBFB4" w14:textId="76375049" w:rsidR="328B30DD" w:rsidRDefault="328B30DD" w:rsidP="328B30DD">
            <w:pPr>
              <w:rPr>
                <w:rFonts w:eastAsiaTheme="minorEastAsia" w:hint="eastAsia"/>
              </w:rPr>
            </w:pPr>
          </w:p>
          <w:p w14:paraId="294D687B" w14:textId="6BE08638" w:rsidR="328B30DD" w:rsidRDefault="328B30DD" w:rsidP="328B30DD">
            <w:pPr>
              <w:rPr>
                <w:rFonts w:eastAsiaTheme="minorEastAsia" w:hint="eastAsia"/>
              </w:rPr>
            </w:pPr>
          </w:p>
          <w:p w14:paraId="43295132" w14:textId="50D68BDE" w:rsidR="328B30DD" w:rsidRDefault="328B30DD" w:rsidP="328B30DD">
            <w:pPr>
              <w:rPr>
                <w:rFonts w:eastAsiaTheme="minorEastAsia" w:hint="eastAsia"/>
              </w:rPr>
            </w:pPr>
          </w:p>
          <w:p w14:paraId="52CDE523" w14:textId="1DC21827" w:rsidR="328B30DD" w:rsidRDefault="328B30DD"/>
        </w:tc>
      </w:tr>
      <w:tr w:rsidR="328B30DD" w14:paraId="52596D2F" w14:textId="77777777" w:rsidTr="3D2C5891">
        <w:trPr>
          <w:trHeight w:val="300"/>
        </w:trPr>
        <w:tc>
          <w:tcPr>
            <w:tcW w:w="10615" w:type="dxa"/>
            <w:shd w:val="clear" w:color="auto" w:fill="FFC000"/>
          </w:tcPr>
          <w:p w14:paraId="2B3A4156" w14:textId="6403D178" w:rsidR="328B30DD" w:rsidRDefault="328B30DD">
            <w:r w:rsidRPr="328B30DD">
              <w:rPr>
                <w:b/>
                <w:bCs/>
              </w:rPr>
              <w:lastRenderedPageBreak/>
              <w:t>Additional Comments/Feedback</w:t>
            </w:r>
          </w:p>
        </w:tc>
      </w:tr>
      <w:tr w:rsidR="328B30DD" w14:paraId="3840C8BC" w14:textId="77777777" w:rsidTr="3D2C5891">
        <w:trPr>
          <w:trHeight w:val="300"/>
        </w:trPr>
        <w:tc>
          <w:tcPr>
            <w:tcW w:w="10615" w:type="dxa"/>
            <w:shd w:val="clear" w:color="auto" w:fill="FFFFFF" w:themeFill="background1"/>
          </w:tcPr>
          <w:p w14:paraId="407CA682" w14:textId="77777777" w:rsidR="005C7690" w:rsidRDefault="66FAB7B3">
            <w:r>
              <w:t xml:space="preserve">Please provide any additional comments or suggestions on SETRs, Digital Transformation, or other areas you would like to express to the Air Force Material Command. </w:t>
            </w:r>
          </w:p>
          <w:p w14:paraId="6D1AC3B1" w14:textId="77777777" w:rsidR="328B30DD" w:rsidRDefault="328B30DD"/>
          <w:p w14:paraId="30A7C746" w14:textId="76DBFF91" w:rsidR="328B30DD" w:rsidRDefault="66FAB7B3" w:rsidP="328B30DD">
            <w:r>
              <w:t>Please also include on feedback on the workshop, or recommendations for workshops or events you would like to participate in the future.</w:t>
            </w:r>
          </w:p>
          <w:p w14:paraId="4DAC4378" w14:textId="77777777" w:rsidR="003E5959" w:rsidRDefault="003E5959" w:rsidP="328B30DD"/>
          <w:p w14:paraId="2E647E7B" w14:textId="0F39F519" w:rsidR="003E5959" w:rsidRPr="003E5959" w:rsidRDefault="003E5959" w:rsidP="328B30DD">
            <w:pPr>
              <w:rPr>
                <w:color w:val="7030A0"/>
              </w:rPr>
            </w:pPr>
            <w:r>
              <w:rPr>
                <w:color w:val="7030A0"/>
              </w:rPr>
              <w:t>People at this table:</w:t>
            </w:r>
          </w:p>
          <w:p w14:paraId="695A8B18" w14:textId="77777777" w:rsidR="00887F9F" w:rsidRDefault="00887F9F" w:rsidP="328B30DD">
            <w:pPr>
              <w:rPr>
                <w:b/>
                <w:bCs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3463"/>
              <w:gridCol w:w="3463"/>
              <w:gridCol w:w="3463"/>
            </w:tblGrid>
            <w:tr w:rsidR="003E5959" w14:paraId="7BED7A66" w14:textId="77777777" w:rsidTr="00EB5F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  <w:shd w:val="clear" w:color="auto" w:fill="7030A0"/>
                </w:tcPr>
                <w:p w14:paraId="601C811E" w14:textId="6EFBA666" w:rsidR="003E5959" w:rsidRDefault="003E5959" w:rsidP="328B30DD">
                  <w:r>
                    <w:t>Name</w:t>
                  </w:r>
                </w:p>
              </w:tc>
              <w:tc>
                <w:tcPr>
                  <w:tcW w:w="3463" w:type="dxa"/>
                  <w:shd w:val="clear" w:color="auto" w:fill="7030A0"/>
                </w:tcPr>
                <w:p w14:paraId="40924985" w14:textId="05873C25" w:rsidR="003E5959" w:rsidRDefault="003E5959" w:rsidP="328B30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Organization</w:t>
                  </w:r>
                </w:p>
              </w:tc>
              <w:tc>
                <w:tcPr>
                  <w:tcW w:w="3463" w:type="dxa"/>
                  <w:shd w:val="clear" w:color="auto" w:fill="7030A0"/>
                </w:tcPr>
                <w:p w14:paraId="471B4331" w14:textId="4D7230B4" w:rsidR="003E5959" w:rsidRDefault="003E5959" w:rsidP="328B30D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Email Address</w:t>
                  </w:r>
                </w:p>
              </w:tc>
            </w:tr>
            <w:tr w:rsidR="003E5959" w14:paraId="3A5B007B" w14:textId="77777777" w:rsidTr="00A43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  <w:shd w:val="clear" w:color="auto" w:fill="CBA9E5"/>
                </w:tcPr>
                <w:p w14:paraId="607DA5D2" w14:textId="0B836CB2" w:rsidR="003E5959" w:rsidRDefault="001C79B3" w:rsidP="328B30DD">
                  <w:r>
                    <w:t>Amber Gilbert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4F4F526A" w14:textId="4E96C178" w:rsidR="003E5959" w:rsidRDefault="001C79B3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DAF DTO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31198047" w14:textId="1403A841" w:rsidR="003E5959" w:rsidRDefault="001C79B3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6" w:history="1">
                    <w:r w:rsidRPr="000B6233">
                      <w:rPr>
                        <w:rStyle w:val="Hyperlink"/>
                      </w:rPr>
                      <w:t>Amber.gilbert.1@us.af.mil</w:t>
                    </w:r>
                  </w:hyperlink>
                </w:p>
              </w:tc>
            </w:tr>
            <w:tr w:rsidR="003E5959" w14:paraId="11C985FB" w14:textId="77777777" w:rsidTr="00EB5F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</w:tcPr>
                <w:p w14:paraId="502E3C9C" w14:textId="54AFF4E4" w:rsidR="003E5959" w:rsidRDefault="001C79B3" w:rsidP="328B30DD">
                  <w:r>
                    <w:t>Jonathan Sham</w:t>
                  </w:r>
                </w:p>
              </w:tc>
              <w:tc>
                <w:tcPr>
                  <w:tcW w:w="3463" w:type="dxa"/>
                </w:tcPr>
                <w:p w14:paraId="18D802EB" w14:textId="5EE7B5BE" w:rsidR="003E5959" w:rsidRDefault="001C79B3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Northrop Grumman</w:t>
                  </w:r>
                </w:p>
              </w:tc>
              <w:tc>
                <w:tcPr>
                  <w:tcW w:w="3463" w:type="dxa"/>
                </w:tcPr>
                <w:p w14:paraId="31F4A778" w14:textId="588C342F" w:rsidR="003E5959" w:rsidRDefault="008B2DF6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7" w:history="1">
                    <w:r w:rsidRPr="000B6233">
                      <w:rPr>
                        <w:rStyle w:val="Hyperlink"/>
                      </w:rPr>
                      <w:t>Jonathan.sham@ngc.com</w:t>
                    </w:r>
                  </w:hyperlink>
                </w:p>
              </w:tc>
            </w:tr>
            <w:tr w:rsidR="003E5959" w14:paraId="5063F392" w14:textId="77777777" w:rsidTr="00A43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  <w:shd w:val="clear" w:color="auto" w:fill="CBA9E5"/>
                </w:tcPr>
                <w:p w14:paraId="7B25AA6C" w14:textId="448DFB3A" w:rsidR="003E5959" w:rsidRDefault="008B2DF6" w:rsidP="328B30DD">
                  <w:r>
                    <w:t>Vicky O’Sullivan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6F07F2EF" w14:textId="5293AD07" w:rsidR="003E5959" w:rsidRDefault="008B2DF6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MITRE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1EFFA4DA" w14:textId="44A11F93" w:rsidR="003E5959" w:rsidRDefault="008B2DF6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8" w:history="1">
                    <w:r w:rsidRPr="000B6233">
                      <w:rPr>
                        <w:rStyle w:val="Hyperlink"/>
                      </w:rPr>
                      <w:t>vosullivan@mitre.org</w:t>
                    </w:r>
                  </w:hyperlink>
                </w:p>
              </w:tc>
            </w:tr>
            <w:tr w:rsidR="003E5959" w14:paraId="139AB98D" w14:textId="77777777" w:rsidTr="00EB5F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</w:tcPr>
                <w:p w14:paraId="2584009B" w14:textId="7775BF02" w:rsidR="003E5959" w:rsidRDefault="008B2DF6" w:rsidP="328B30DD">
                  <w:r>
                    <w:t>Hema Maniva</w:t>
                  </w:r>
                  <w:r w:rsidR="00F77D22">
                    <w:t>nnan</w:t>
                  </w:r>
                </w:p>
              </w:tc>
              <w:tc>
                <w:tcPr>
                  <w:tcW w:w="3463" w:type="dxa"/>
                </w:tcPr>
                <w:p w14:paraId="5418089C" w14:textId="464110C5" w:rsidR="003E5959" w:rsidRDefault="00F77D22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DSPO</w:t>
                  </w:r>
                </w:p>
              </w:tc>
              <w:tc>
                <w:tcPr>
                  <w:tcW w:w="3463" w:type="dxa"/>
                </w:tcPr>
                <w:p w14:paraId="390F1B65" w14:textId="2BBDF781" w:rsidR="003E5959" w:rsidRDefault="00F77D22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19" w:history="1">
                    <w:r w:rsidRPr="000B6233">
                      <w:rPr>
                        <w:rStyle w:val="Hyperlink"/>
                      </w:rPr>
                      <w:t>Hema.manivannan@dla.mil</w:t>
                    </w:r>
                  </w:hyperlink>
                </w:p>
              </w:tc>
            </w:tr>
            <w:tr w:rsidR="003E5959" w14:paraId="27CE482C" w14:textId="77777777" w:rsidTr="00A43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  <w:shd w:val="clear" w:color="auto" w:fill="CBA9E5"/>
                </w:tcPr>
                <w:p w14:paraId="31CD111E" w14:textId="6207BE1F" w:rsidR="003E5959" w:rsidRDefault="00F77D22" w:rsidP="328B30DD">
                  <w:r>
                    <w:t xml:space="preserve">Robin </w:t>
                  </w:r>
                  <w:proofErr w:type="spellStart"/>
                  <w:r>
                    <w:t>Yeman</w:t>
                  </w:r>
                  <w:proofErr w:type="spellEnd"/>
                </w:p>
              </w:tc>
              <w:tc>
                <w:tcPr>
                  <w:tcW w:w="3463" w:type="dxa"/>
                  <w:shd w:val="clear" w:color="auto" w:fill="CBA9E5"/>
                </w:tcPr>
                <w:p w14:paraId="23167CE6" w14:textId="5AF57DF0" w:rsidR="003E5959" w:rsidRDefault="008658A3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Carnegie Mellon SEI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30C24498" w14:textId="2F80F94F" w:rsidR="003E5959" w:rsidRDefault="008658A3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20" w:history="1">
                    <w:r w:rsidRPr="000B6233">
                      <w:rPr>
                        <w:rStyle w:val="Hyperlink"/>
                      </w:rPr>
                      <w:t>ryeman@sei.cmu.edu</w:t>
                    </w:r>
                  </w:hyperlink>
                </w:p>
              </w:tc>
            </w:tr>
            <w:tr w:rsidR="003E5959" w14:paraId="4150157A" w14:textId="77777777" w:rsidTr="00EB5F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</w:tcPr>
                <w:p w14:paraId="2FB3885E" w14:textId="5B1F911B" w:rsidR="003E5959" w:rsidRDefault="008658A3" w:rsidP="328B30DD">
                  <w:r>
                    <w:t>Mike Shearin</w:t>
                  </w:r>
                </w:p>
              </w:tc>
              <w:tc>
                <w:tcPr>
                  <w:tcW w:w="3463" w:type="dxa"/>
                </w:tcPr>
                <w:p w14:paraId="15834376" w14:textId="43A0AC67" w:rsidR="003E5959" w:rsidRDefault="008658A3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GTRI</w:t>
                  </w:r>
                </w:p>
              </w:tc>
              <w:tc>
                <w:tcPr>
                  <w:tcW w:w="3463" w:type="dxa"/>
                </w:tcPr>
                <w:p w14:paraId="67BFBA04" w14:textId="25C78EBB" w:rsidR="003E5959" w:rsidRDefault="00823B82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21" w:history="1">
                    <w:r w:rsidRPr="000B6233">
                      <w:rPr>
                        <w:rStyle w:val="Hyperlink"/>
                      </w:rPr>
                      <w:t>Mike.shearin@gtri.gatech.edu</w:t>
                    </w:r>
                  </w:hyperlink>
                </w:p>
              </w:tc>
            </w:tr>
            <w:tr w:rsidR="003E5959" w14:paraId="135F85A2" w14:textId="77777777" w:rsidTr="00A43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  <w:shd w:val="clear" w:color="auto" w:fill="CBA9E5"/>
                </w:tcPr>
                <w:p w14:paraId="3854C3FC" w14:textId="6F934FA7" w:rsidR="003E5959" w:rsidRDefault="00823B82" w:rsidP="328B30DD">
                  <w:r>
                    <w:t>Chris Schreiber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26EF6C25" w14:textId="13D098B3" w:rsidR="003E5959" w:rsidRDefault="00823B82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Lockheed Martin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4A1499DD" w14:textId="5C0D005C" w:rsidR="003E5959" w:rsidRDefault="00823B82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22" w:history="1">
                    <w:r w:rsidRPr="000B6233">
                      <w:rPr>
                        <w:rStyle w:val="Hyperlink"/>
                      </w:rPr>
                      <w:t>Chris.schreiber@lmco.com</w:t>
                    </w:r>
                  </w:hyperlink>
                </w:p>
              </w:tc>
            </w:tr>
            <w:tr w:rsidR="00823B82" w14:paraId="530E40F3" w14:textId="77777777" w:rsidTr="00EB5F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</w:tcPr>
                <w:p w14:paraId="15350786" w14:textId="30838904" w:rsidR="00823B82" w:rsidRDefault="00823B82" w:rsidP="328B30DD">
                  <w:r>
                    <w:t>Jerome Hugues</w:t>
                  </w:r>
                </w:p>
              </w:tc>
              <w:tc>
                <w:tcPr>
                  <w:tcW w:w="3463" w:type="dxa"/>
                </w:tcPr>
                <w:p w14:paraId="2E6E6AAF" w14:textId="1287F0C1" w:rsidR="00823B82" w:rsidRDefault="006F4C9E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CMU/SEI</w:t>
                  </w:r>
                </w:p>
              </w:tc>
              <w:tc>
                <w:tcPr>
                  <w:tcW w:w="3463" w:type="dxa"/>
                </w:tcPr>
                <w:p w14:paraId="5CFF8E98" w14:textId="7BFA8DF2" w:rsidR="00823B82" w:rsidRDefault="006F4C9E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23" w:history="1">
                    <w:r w:rsidRPr="000B6233">
                      <w:rPr>
                        <w:rStyle w:val="Hyperlink"/>
                      </w:rPr>
                      <w:t>jjhugues@sei.cmu.edu</w:t>
                    </w:r>
                  </w:hyperlink>
                </w:p>
              </w:tc>
            </w:tr>
            <w:tr w:rsidR="006F4C9E" w14:paraId="1C2872D0" w14:textId="77777777" w:rsidTr="00A43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  <w:shd w:val="clear" w:color="auto" w:fill="CBA9E5"/>
                </w:tcPr>
                <w:p w14:paraId="7CA7F1CB" w14:textId="0317D931" w:rsidR="006F4C9E" w:rsidRDefault="006F4C9E" w:rsidP="328B30DD">
                  <w:r>
                    <w:t>Nathaniel Crews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51F3FA39" w14:textId="0E8A5166" w:rsidR="006F4C9E" w:rsidRDefault="006F4C9E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Caltech</w:t>
                  </w:r>
                  <w:r w:rsidR="008C0473">
                    <w:t xml:space="preserve"> CTME</w:t>
                  </w:r>
                </w:p>
              </w:tc>
              <w:tc>
                <w:tcPr>
                  <w:tcW w:w="3463" w:type="dxa"/>
                  <w:shd w:val="clear" w:color="auto" w:fill="CBA9E5"/>
                </w:tcPr>
                <w:p w14:paraId="17D331C1" w14:textId="57884F3E" w:rsidR="006F4C9E" w:rsidRDefault="008C0473" w:rsidP="328B3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24" w:history="1">
                    <w:r w:rsidRPr="000B6233">
                      <w:rPr>
                        <w:rStyle w:val="Hyperlink"/>
                      </w:rPr>
                      <w:t>Ncrews.btcs@gmail.com</w:t>
                    </w:r>
                  </w:hyperlink>
                </w:p>
              </w:tc>
            </w:tr>
            <w:tr w:rsidR="008C0473" w14:paraId="7FD58CF6" w14:textId="77777777" w:rsidTr="00EB5F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3" w:type="dxa"/>
                </w:tcPr>
                <w:p w14:paraId="65E3A304" w14:textId="2178AC3F" w:rsidR="008C0473" w:rsidRDefault="008C0473" w:rsidP="328B30DD">
                  <w:r>
                    <w:t>Kelli Houston</w:t>
                  </w:r>
                </w:p>
              </w:tc>
              <w:tc>
                <w:tcPr>
                  <w:tcW w:w="3463" w:type="dxa"/>
                </w:tcPr>
                <w:p w14:paraId="68F1AE43" w14:textId="0100758F" w:rsidR="008C0473" w:rsidRDefault="008C0473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Lockheed Martin</w:t>
                  </w:r>
                </w:p>
              </w:tc>
              <w:tc>
                <w:tcPr>
                  <w:tcW w:w="3463" w:type="dxa"/>
                </w:tcPr>
                <w:p w14:paraId="1AB72A11" w14:textId="32DEEFF7" w:rsidR="008C0473" w:rsidRDefault="008140F3" w:rsidP="328B30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25" w:history="1">
                    <w:r w:rsidRPr="000B6233">
                      <w:rPr>
                        <w:rStyle w:val="Hyperlink"/>
                      </w:rPr>
                      <w:t>Kelli.a.houston@lmco.com</w:t>
                    </w:r>
                  </w:hyperlink>
                  <w:r>
                    <w:t xml:space="preserve"> </w:t>
                  </w:r>
                </w:p>
              </w:tc>
            </w:tr>
          </w:tbl>
          <w:p w14:paraId="3FF1DE6D" w14:textId="2FF4F4EF" w:rsidR="328B30DD" w:rsidRDefault="328B30DD" w:rsidP="328B30DD"/>
          <w:p w14:paraId="7C271B6E" w14:textId="77C3AD36" w:rsidR="328B30DD" w:rsidRDefault="328B30DD" w:rsidP="328B30DD"/>
          <w:p w14:paraId="6CF3A55C" w14:textId="44C9B12B" w:rsidR="328B30DD" w:rsidRDefault="328B30DD" w:rsidP="328B30DD"/>
          <w:p w14:paraId="30F05045" w14:textId="7B0E66C4" w:rsidR="328B30DD" w:rsidRDefault="328B30DD" w:rsidP="328B30DD"/>
          <w:p w14:paraId="5BE81CCB" w14:textId="415A17B2" w:rsidR="328B30DD" w:rsidRDefault="328B30DD" w:rsidP="328B30DD"/>
          <w:p w14:paraId="4B962194" w14:textId="1D05EF83" w:rsidR="328B30DD" w:rsidRDefault="328B30DD" w:rsidP="328B30DD"/>
          <w:p w14:paraId="409FCF6A" w14:textId="33D2864E" w:rsidR="328B30DD" w:rsidRDefault="328B30DD" w:rsidP="328B30DD"/>
          <w:p w14:paraId="1B5615D9" w14:textId="63E078F9" w:rsidR="328B30DD" w:rsidRDefault="328B30DD" w:rsidP="328B30DD"/>
          <w:p w14:paraId="709262C3" w14:textId="6E03E058" w:rsidR="328B30DD" w:rsidRDefault="328B30DD" w:rsidP="328B30DD"/>
          <w:p w14:paraId="09309FCF" w14:textId="18A05EBE" w:rsidR="328B30DD" w:rsidRDefault="328B30DD" w:rsidP="328B30DD"/>
          <w:p w14:paraId="4CE4E7F6" w14:textId="47AF20FB" w:rsidR="328B30DD" w:rsidRDefault="328B30DD" w:rsidP="328B30DD"/>
          <w:p w14:paraId="24F10647" w14:textId="233C272E" w:rsidR="328B30DD" w:rsidRDefault="328B30DD"/>
          <w:p w14:paraId="20C70A23" w14:textId="003D5E34" w:rsidR="328B30DD" w:rsidRDefault="328B30DD"/>
          <w:p w14:paraId="552B6D7C" w14:textId="0909ED86" w:rsidR="328B30DD" w:rsidRDefault="328B30DD"/>
          <w:p w14:paraId="41A55C7F" w14:textId="1E2430EB" w:rsidR="328B30DD" w:rsidRDefault="328B30DD" w:rsidP="328B30DD"/>
          <w:p w14:paraId="33080C52" w14:textId="55F7E1D4" w:rsidR="328B30DD" w:rsidRDefault="328B30DD" w:rsidP="328B30DD"/>
          <w:p w14:paraId="6B6832C1" w14:textId="5A41CD4D" w:rsidR="328B30DD" w:rsidRDefault="328B30DD"/>
          <w:p w14:paraId="4B28331F" w14:textId="7AED2D24" w:rsidR="328B30DD" w:rsidRDefault="328B30DD"/>
          <w:p w14:paraId="0F00EA18" w14:textId="6B36A83A" w:rsidR="328B30DD" w:rsidRDefault="328B30DD"/>
          <w:p w14:paraId="10DA8460" w14:textId="55FC135F" w:rsidR="328B30DD" w:rsidRDefault="328B30DD"/>
          <w:p w14:paraId="45698BC7" w14:textId="2B741328" w:rsidR="328B30DD" w:rsidRDefault="328B30DD"/>
        </w:tc>
      </w:tr>
    </w:tbl>
    <w:p w14:paraId="055208C7" w14:textId="116ED2D5" w:rsidR="00D03D77" w:rsidRDefault="00D03D77" w:rsidP="00F22E41"/>
    <w:sectPr w:rsidR="00D03D77" w:rsidSect="0028307A">
      <w:headerReference w:type="default" r:id="rId26"/>
      <w:footerReference w:type="default" r:id="rId2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B8D5" w14:textId="77777777" w:rsidR="00B30B2E" w:rsidRDefault="00B30B2E" w:rsidP="00237752">
      <w:pPr>
        <w:spacing w:after="0" w:line="240" w:lineRule="auto"/>
      </w:pPr>
      <w:r>
        <w:separator/>
      </w:r>
    </w:p>
  </w:endnote>
  <w:endnote w:type="continuationSeparator" w:id="0">
    <w:p w14:paraId="79254327" w14:textId="77777777" w:rsidR="00B30B2E" w:rsidRDefault="00B30B2E" w:rsidP="00237752">
      <w:pPr>
        <w:spacing w:after="0" w:line="240" w:lineRule="auto"/>
      </w:pPr>
      <w:r>
        <w:continuationSeparator/>
      </w:r>
    </w:p>
  </w:endnote>
  <w:endnote w:type="continuationNotice" w:id="1">
    <w:p w14:paraId="576F0747" w14:textId="77777777" w:rsidR="00B30B2E" w:rsidRDefault="00B30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14:paraId="388CCCBE" w14:textId="77777777" w:rsidTr="328B30DD">
      <w:trPr>
        <w:trHeight w:val="300"/>
      </w:trPr>
      <w:tc>
        <w:tcPr>
          <w:tcW w:w="3600" w:type="dxa"/>
        </w:tcPr>
        <w:p w14:paraId="4428B61F" w14:textId="6F815A26" w:rsidR="328B30DD" w:rsidRDefault="328B30DD" w:rsidP="328B30DD">
          <w:pPr>
            <w:pStyle w:val="Header"/>
            <w:ind w:left="-115"/>
          </w:pPr>
        </w:p>
      </w:tc>
      <w:tc>
        <w:tcPr>
          <w:tcW w:w="3600" w:type="dxa"/>
        </w:tcPr>
        <w:p w14:paraId="0E18922C" w14:textId="3E75A388" w:rsidR="328B30DD" w:rsidRDefault="328B30DD" w:rsidP="328B30DD">
          <w:pPr>
            <w:pStyle w:val="Header"/>
            <w:jc w:val="center"/>
          </w:pPr>
        </w:p>
      </w:tc>
      <w:tc>
        <w:tcPr>
          <w:tcW w:w="3600" w:type="dxa"/>
        </w:tcPr>
        <w:p w14:paraId="3F4DA14D" w14:textId="09F2174E" w:rsidR="328B30DD" w:rsidRDefault="328B30DD" w:rsidP="328B30D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14:paraId="6668D625" w14:textId="3BF2F3F0" w:rsidR="00066B24" w:rsidRDefault="0006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78B4" w14:textId="77777777" w:rsidR="00B30B2E" w:rsidRDefault="00B30B2E" w:rsidP="00237752">
      <w:pPr>
        <w:spacing w:after="0" w:line="240" w:lineRule="auto"/>
      </w:pPr>
      <w:r>
        <w:separator/>
      </w:r>
    </w:p>
  </w:footnote>
  <w:footnote w:type="continuationSeparator" w:id="0">
    <w:p w14:paraId="349A9045" w14:textId="77777777" w:rsidR="00B30B2E" w:rsidRDefault="00B30B2E" w:rsidP="00237752">
      <w:pPr>
        <w:spacing w:after="0" w:line="240" w:lineRule="auto"/>
      </w:pPr>
      <w:r>
        <w:continuationSeparator/>
      </w:r>
    </w:p>
  </w:footnote>
  <w:footnote w:type="continuationNotice" w:id="1">
    <w:p w14:paraId="3CFF9A9C" w14:textId="77777777" w:rsidR="00B30B2E" w:rsidRDefault="00B30B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0CAF" w14:textId="5845B873" w:rsidR="00F22E41" w:rsidRDefault="00F22E41" w:rsidP="00F22E41">
    <w:pPr>
      <w:pStyle w:val="Header"/>
      <w:jc w:val="center"/>
    </w:pPr>
    <w:r>
      <w:t>NDIA 27</w:t>
    </w:r>
    <w:r w:rsidRPr="00F22E41">
      <w:rPr>
        <w:vertAlign w:val="superscript"/>
      </w:rPr>
      <w:t>th</w:t>
    </w:r>
    <w:r>
      <w:t xml:space="preserve"> Annual Systems &amp; Mission Engineering Conference – 28 Oct 2024</w:t>
    </w:r>
  </w:p>
  <w:p w14:paraId="1F5F5DDD" w14:textId="3A7E9A7C" w:rsidR="00F22E41" w:rsidRDefault="00B13BCF" w:rsidP="00F22E41">
    <w:pPr>
      <w:pStyle w:val="Header"/>
      <w:jc w:val="center"/>
    </w:pPr>
    <w:r>
      <w:t>IAC DMM Workshop (</w:t>
    </w:r>
    <w:r w:rsidR="00F22E41">
      <w:t>Workshop 1</w:t>
    </w:r>
    <w:r>
      <w:t xml:space="preserve">): </w:t>
    </w:r>
    <w:r w:rsidR="00F22E41">
      <w:t>Implementing a Digital Technical Review Process</w:t>
    </w:r>
  </w:p>
  <w:p w14:paraId="5E5E8271" w14:textId="77777777" w:rsidR="001205DC" w:rsidRDefault="001205DC" w:rsidP="00F22E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4F0115A"/>
    <w:multiLevelType w:val="hybridMultilevel"/>
    <w:tmpl w:val="F120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27224"/>
    <w:multiLevelType w:val="hybridMultilevel"/>
    <w:tmpl w:val="848C6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12A0F"/>
    <w:multiLevelType w:val="hybridMultilevel"/>
    <w:tmpl w:val="08CE0684"/>
    <w:lvl w:ilvl="0" w:tplc="87321D44">
      <w:start w:val="1"/>
      <w:numFmt w:val="bullet"/>
      <w:lvlText w:val="-"/>
      <w:lvlJc w:val="left"/>
      <w:pPr>
        <w:ind w:left="7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0678">
    <w:abstractNumId w:val="3"/>
  </w:num>
  <w:num w:numId="2" w16cid:durableId="751124873">
    <w:abstractNumId w:val="2"/>
  </w:num>
  <w:num w:numId="3" w16cid:durableId="1811092354">
    <w:abstractNumId w:val="8"/>
  </w:num>
  <w:num w:numId="4" w16cid:durableId="1485851645">
    <w:abstractNumId w:val="10"/>
    <w:lvlOverride w:ilvl="0">
      <w:startOverride w:val="1"/>
    </w:lvlOverride>
  </w:num>
  <w:num w:numId="5" w16cid:durableId="354422876">
    <w:abstractNumId w:val="1"/>
    <w:lvlOverride w:ilvl="0">
      <w:startOverride w:val="3"/>
    </w:lvlOverride>
  </w:num>
  <w:num w:numId="6" w16cid:durableId="1728799836">
    <w:abstractNumId w:val="9"/>
    <w:lvlOverride w:ilvl="0">
      <w:startOverride w:val="4"/>
    </w:lvlOverride>
  </w:num>
  <w:num w:numId="7" w16cid:durableId="506555369">
    <w:abstractNumId w:val="0"/>
    <w:lvlOverride w:ilvl="0">
      <w:startOverride w:val="1"/>
    </w:lvlOverride>
  </w:num>
  <w:num w:numId="8" w16cid:durableId="1768842776">
    <w:abstractNumId w:val="6"/>
  </w:num>
  <w:num w:numId="9" w16cid:durableId="1266889570">
    <w:abstractNumId w:val="4"/>
  </w:num>
  <w:num w:numId="10" w16cid:durableId="1614051581">
    <w:abstractNumId w:val="5"/>
  </w:num>
  <w:num w:numId="11" w16cid:durableId="40614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97DAC"/>
    <w:rsid w:val="000A09BE"/>
    <w:rsid w:val="000C0E6C"/>
    <w:rsid w:val="000C2C38"/>
    <w:rsid w:val="000C334F"/>
    <w:rsid w:val="000D1F0C"/>
    <w:rsid w:val="000D2A4E"/>
    <w:rsid w:val="000D7E87"/>
    <w:rsid w:val="000E2272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1E39"/>
    <w:rsid w:val="00127210"/>
    <w:rsid w:val="00131968"/>
    <w:rsid w:val="00136562"/>
    <w:rsid w:val="0015055E"/>
    <w:rsid w:val="00153AC1"/>
    <w:rsid w:val="001613CF"/>
    <w:rsid w:val="00164821"/>
    <w:rsid w:val="001735B8"/>
    <w:rsid w:val="001829D0"/>
    <w:rsid w:val="001843BA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4D05"/>
    <w:rsid w:val="001C79B3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66283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C0FDA"/>
    <w:rsid w:val="002C3576"/>
    <w:rsid w:val="002C3658"/>
    <w:rsid w:val="002C7DF6"/>
    <w:rsid w:val="002D1DC9"/>
    <w:rsid w:val="002E51DF"/>
    <w:rsid w:val="002E5568"/>
    <w:rsid w:val="002F49C1"/>
    <w:rsid w:val="00310730"/>
    <w:rsid w:val="0031331E"/>
    <w:rsid w:val="00313C77"/>
    <w:rsid w:val="00313F5B"/>
    <w:rsid w:val="003166C3"/>
    <w:rsid w:val="00322CA2"/>
    <w:rsid w:val="003279C4"/>
    <w:rsid w:val="00330533"/>
    <w:rsid w:val="003355D7"/>
    <w:rsid w:val="00356790"/>
    <w:rsid w:val="0036207B"/>
    <w:rsid w:val="00364271"/>
    <w:rsid w:val="00364CD9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D67A5"/>
    <w:rsid w:val="003E2154"/>
    <w:rsid w:val="003E5959"/>
    <w:rsid w:val="003E7FC5"/>
    <w:rsid w:val="003F0A3C"/>
    <w:rsid w:val="003F3B91"/>
    <w:rsid w:val="003F5F08"/>
    <w:rsid w:val="00402308"/>
    <w:rsid w:val="00402B82"/>
    <w:rsid w:val="00420CC0"/>
    <w:rsid w:val="00422D31"/>
    <w:rsid w:val="00425814"/>
    <w:rsid w:val="00425FDE"/>
    <w:rsid w:val="00427A5E"/>
    <w:rsid w:val="00434FED"/>
    <w:rsid w:val="00437028"/>
    <w:rsid w:val="00437E4A"/>
    <w:rsid w:val="00446BE1"/>
    <w:rsid w:val="004474E6"/>
    <w:rsid w:val="0045027D"/>
    <w:rsid w:val="004534C4"/>
    <w:rsid w:val="00454219"/>
    <w:rsid w:val="00461EE9"/>
    <w:rsid w:val="00463E1E"/>
    <w:rsid w:val="00467D3F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36C87"/>
    <w:rsid w:val="00542100"/>
    <w:rsid w:val="0054699F"/>
    <w:rsid w:val="00550988"/>
    <w:rsid w:val="00551705"/>
    <w:rsid w:val="005530B9"/>
    <w:rsid w:val="00574905"/>
    <w:rsid w:val="00583EB2"/>
    <w:rsid w:val="00584C0A"/>
    <w:rsid w:val="00594EF8"/>
    <w:rsid w:val="005959AE"/>
    <w:rsid w:val="00597911"/>
    <w:rsid w:val="005A4121"/>
    <w:rsid w:val="005B6823"/>
    <w:rsid w:val="005C3EFC"/>
    <w:rsid w:val="005C5981"/>
    <w:rsid w:val="005C59C0"/>
    <w:rsid w:val="005C6D93"/>
    <w:rsid w:val="005C7690"/>
    <w:rsid w:val="005D5CC8"/>
    <w:rsid w:val="005E533C"/>
    <w:rsid w:val="005E6344"/>
    <w:rsid w:val="005F5B45"/>
    <w:rsid w:val="005F7B61"/>
    <w:rsid w:val="005F7D3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3864"/>
    <w:rsid w:val="00655FF5"/>
    <w:rsid w:val="00660F83"/>
    <w:rsid w:val="006731D2"/>
    <w:rsid w:val="006B1480"/>
    <w:rsid w:val="006B3429"/>
    <w:rsid w:val="006C0654"/>
    <w:rsid w:val="006C0B17"/>
    <w:rsid w:val="006D2F4F"/>
    <w:rsid w:val="006D3FB7"/>
    <w:rsid w:val="006D44AD"/>
    <w:rsid w:val="006D5263"/>
    <w:rsid w:val="006D6176"/>
    <w:rsid w:val="006E08A4"/>
    <w:rsid w:val="006E4DFF"/>
    <w:rsid w:val="006E7860"/>
    <w:rsid w:val="006F2A4B"/>
    <w:rsid w:val="006F4C9E"/>
    <w:rsid w:val="006F5679"/>
    <w:rsid w:val="006F5E02"/>
    <w:rsid w:val="00700946"/>
    <w:rsid w:val="00701F46"/>
    <w:rsid w:val="0070510D"/>
    <w:rsid w:val="0072546E"/>
    <w:rsid w:val="00732A88"/>
    <w:rsid w:val="0074382E"/>
    <w:rsid w:val="007446F8"/>
    <w:rsid w:val="007500F2"/>
    <w:rsid w:val="00751AEB"/>
    <w:rsid w:val="0075698C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A90"/>
    <w:rsid w:val="007D1DE6"/>
    <w:rsid w:val="007D62C3"/>
    <w:rsid w:val="007E2415"/>
    <w:rsid w:val="007E2978"/>
    <w:rsid w:val="007E6302"/>
    <w:rsid w:val="00810A73"/>
    <w:rsid w:val="008140F3"/>
    <w:rsid w:val="008143EA"/>
    <w:rsid w:val="00823B82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658A3"/>
    <w:rsid w:val="008746A3"/>
    <w:rsid w:val="00877F9C"/>
    <w:rsid w:val="00881826"/>
    <w:rsid w:val="00883A65"/>
    <w:rsid w:val="00883E9B"/>
    <w:rsid w:val="00884BDA"/>
    <w:rsid w:val="00887F9F"/>
    <w:rsid w:val="008917F1"/>
    <w:rsid w:val="00895E19"/>
    <w:rsid w:val="008A3277"/>
    <w:rsid w:val="008A4C84"/>
    <w:rsid w:val="008B2DF6"/>
    <w:rsid w:val="008C0473"/>
    <w:rsid w:val="008C18C6"/>
    <w:rsid w:val="008C3B4B"/>
    <w:rsid w:val="008C77D6"/>
    <w:rsid w:val="008C78B8"/>
    <w:rsid w:val="008D2FBE"/>
    <w:rsid w:val="008D75B6"/>
    <w:rsid w:val="008E031A"/>
    <w:rsid w:val="008E5469"/>
    <w:rsid w:val="008F569B"/>
    <w:rsid w:val="00900F77"/>
    <w:rsid w:val="0090304D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97018"/>
    <w:rsid w:val="009A18A7"/>
    <w:rsid w:val="009A5016"/>
    <w:rsid w:val="009A5BD5"/>
    <w:rsid w:val="009A6815"/>
    <w:rsid w:val="009A7C3E"/>
    <w:rsid w:val="009B1DCD"/>
    <w:rsid w:val="009B33C2"/>
    <w:rsid w:val="009B43E5"/>
    <w:rsid w:val="009B7481"/>
    <w:rsid w:val="009C0C00"/>
    <w:rsid w:val="009C1299"/>
    <w:rsid w:val="009C2A1E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6F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1A1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6A7E"/>
    <w:rsid w:val="00AD2E6A"/>
    <w:rsid w:val="00AD45D7"/>
    <w:rsid w:val="00AD7B30"/>
    <w:rsid w:val="00AE5090"/>
    <w:rsid w:val="00AE6DB6"/>
    <w:rsid w:val="00AF247E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71883"/>
    <w:rsid w:val="00B819B6"/>
    <w:rsid w:val="00B832A0"/>
    <w:rsid w:val="00B843E9"/>
    <w:rsid w:val="00B855DA"/>
    <w:rsid w:val="00B96B95"/>
    <w:rsid w:val="00B97F02"/>
    <w:rsid w:val="00BA4731"/>
    <w:rsid w:val="00BA5DA3"/>
    <w:rsid w:val="00BB6952"/>
    <w:rsid w:val="00BC23B5"/>
    <w:rsid w:val="00BD4602"/>
    <w:rsid w:val="00BD6C6B"/>
    <w:rsid w:val="00BE018C"/>
    <w:rsid w:val="00BE1743"/>
    <w:rsid w:val="00BE1760"/>
    <w:rsid w:val="00BE6B2A"/>
    <w:rsid w:val="00BE709B"/>
    <w:rsid w:val="00BE779B"/>
    <w:rsid w:val="00BF14E8"/>
    <w:rsid w:val="00BF4C6E"/>
    <w:rsid w:val="00C01208"/>
    <w:rsid w:val="00C0189E"/>
    <w:rsid w:val="00C02105"/>
    <w:rsid w:val="00C033C1"/>
    <w:rsid w:val="00C07689"/>
    <w:rsid w:val="00C16A34"/>
    <w:rsid w:val="00C20B27"/>
    <w:rsid w:val="00C22BAC"/>
    <w:rsid w:val="00C22EA8"/>
    <w:rsid w:val="00C266B3"/>
    <w:rsid w:val="00C31A7B"/>
    <w:rsid w:val="00C352AE"/>
    <w:rsid w:val="00C42655"/>
    <w:rsid w:val="00C44693"/>
    <w:rsid w:val="00C479E1"/>
    <w:rsid w:val="00C5134C"/>
    <w:rsid w:val="00C52E8F"/>
    <w:rsid w:val="00C548CF"/>
    <w:rsid w:val="00C57E7A"/>
    <w:rsid w:val="00C65298"/>
    <w:rsid w:val="00C703A0"/>
    <w:rsid w:val="00C73A30"/>
    <w:rsid w:val="00C7429F"/>
    <w:rsid w:val="00C74A21"/>
    <w:rsid w:val="00C75465"/>
    <w:rsid w:val="00C77F20"/>
    <w:rsid w:val="00C83EAC"/>
    <w:rsid w:val="00C87DE9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2494"/>
    <w:rsid w:val="00CE7E8C"/>
    <w:rsid w:val="00CF2849"/>
    <w:rsid w:val="00CF5BD2"/>
    <w:rsid w:val="00D03D77"/>
    <w:rsid w:val="00D05C0D"/>
    <w:rsid w:val="00D14C8C"/>
    <w:rsid w:val="00D16B7E"/>
    <w:rsid w:val="00D26698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3371"/>
    <w:rsid w:val="00E45826"/>
    <w:rsid w:val="00E47207"/>
    <w:rsid w:val="00E4755D"/>
    <w:rsid w:val="00E506B1"/>
    <w:rsid w:val="00E52EF3"/>
    <w:rsid w:val="00E543AB"/>
    <w:rsid w:val="00E56C77"/>
    <w:rsid w:val="00E56D01"/>
    <w:rsid w:val="00E62552"/>
    <w:rsid w:val="00E70D8E"/>
    <w:rsid w:val="00E738F6"/>
    <w:rsid w:val="00E739D9"/>
    <w:rsid w:val="00E77526"/>
    <w:rsid w:val="00E8791C"/>
    <w:rsid w:val="00E94C9A"/>
    <w:rsid w:val="00EA2E54"/>
    <w:rsid w:val="00EA4894"/>
    <w:rsid w:val="00EB0411"/>
    <w:rsid w:val="00EB1E59"/>
    <w:rsid w:val="00EB4730"/>
    <w:rsid w:val="00EB4FF1"/>
    <w:rsid w:val="00EB5FC0"/>
    <w:rsid w:val="00EC7581"/>
    <w:rsid w:val="00ED3FBA"/>
    <w:rsid w:val="00ED5144"/>
    <w:rsid w:val="00ED7664"/>
    <w:rsid w:val="00EE08DD"/>
    <w:rsid w:val="00EE0AC5"/>
    <w:rsid w:val="00EE72AC"/>
    <w:rsid w:val="00EF0BA6"/>
    <w:rsid w:val="00EF4AA9"/>
    <w:rsid w:val="00F00FDE"/>
    <w:rsid w:val="00F02512"/>
    <w:rsid w:val="00F0484E"/>
    <w:rsid w:val="00F1322E"/>
    <w:rsid w:val="00F149CF"/>
    <w:rsid w:val="00F167F0"/>
    <w:rsid w:val="00F17438"/>
    <w:rsid w:val="00F20266"/>
    <w:rsid w:val="00F22E41"/>
    <w:rsid w:val="00F25925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4091"/>
    <w:rsid w:val="00F722D3"/>
    <w:rsid w:val="00F7537D"/>
    <w:rsid w:val="00F764D2"/>
    <w:rsid w:val="00F77D22"/>
    <w:rsid w:val="00F95BF3"/>
    <w:rsid w:val="00F973C9"/>
    <w:rsid w:val="00FA13F7"/>
    <w:rsid w:val="00FA4662"/>
    <w:rsid w:val="00FA4674"/>
    <w:rsid w:val="00FA6217"/>
    <w:rsid w:val="00FA66D9"/>
    <w:rsid w:val="00FB2696"/>
    <w:rsid w:val="00FB5D10"/>
    <w:rsid w:val="00FC3B4F"/>
    <w:rsid w:val="00FC472B"/>
    <w:rsid w:val="00FD067B"/>
    <w:rsid w:val="00FD5055"/>
    <w:rsid w:val="00FD57BB"/>
    <w:rsid w:val="00FD5FDB"/>
    <w:rsid w:val="00FD6DF4"/>
    <w:rsid w:val="00FE19E0"/>
    <w:rsid w:val="00FE3971"/>
    <w:rsid w:val="00FE664C"/>
    <w:rsid w:val="00FF39C8"/>
    <w:rsid w:val="00FF45B6"/>
    <w:rsid w:val="018A8988"/>
    <w:rsid w:val="01C0B053"/>
    <w:rsid w:val="032EBDA6"/>
    <w:rsid w:val="0405ED86"/>
    <w:rsid w:val="04738748"/>
    <w:rsid w:val="05E0E6FC"/>
    <w:rsid w:val="063AEDA8"/>
    <w:rsid w:val="064B3231"/>
    <w:rsid w:val="072135B9"/>
    <w:rsid w:val="073F9CFD"/>
    <w:rsid w:val="076EB65F"/>
    <w:rsid w:val="07A23B18"/>
    <w:rsid w:val="07B1E861"/>
    <w:rsid w:val="08A189AE"/>
    <w:rsid w:val="098D6E79"/>
    <w:rsid w:val="0A25CEA0"/>
    <w:rsid w:val="0B173595"/>
    <w:rsid w:val="0B408647"/>
    <w:rsid w:val="0B7E2850"/>
    <w:rsid w:val="0BAFCF78"/>
    <w:rsid w:val="0C68E860"/>
    <w:rsid w:val="0C89E757"/>
    <w:rsid w:val="0CFE354C"/>
    <w:rsid w:val="0E8FC8E0"/>
    <w:rsid w:val="10252FC9"/>
    <w:rsid w:val="1114CF8E"/>
    <w:rsid w:val="1183C7E5"/>
    <w:rsid w:val="120DEF26"/>
    <w:rsid w:val="143A7E46"/>
    <w:rsid w:val="156C928E"/>
    <w:rsid w:val="1576D0F3"/>
    <w:rsid w:val="15C0B54F"/>
    <w:rsid w:val="16771C03"/>
    <w:rsid w:val="17454323"/>
    <w:rsid w:val="1BA4C2FD"/>
    <w:rsid w:val="1C692929"/>
    <w:rsid w:val="1C7E0254"/>
    <w:rsid w:val="1CC03374"/>
    <w:rsid w:val="1D9DF2C4"/>
    <w:rsid w:val="1F2D4017"/>
    <w:rsid w:val="1FCC3ACF"/>
    <w:rsid w:val="1FFDC752"/>
    <w:rsid w:val="201B7C6E"/>
    <w:rsid w:val="2094B522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F859F1"/>
    <w:rsid w:val="25F9742F"/>
    <w:rsid w:val="270BA360"/>
    <w:rsid w:val="275BAC85"/>
    <w:rsid w:val="276F52B5"/>
    <w:rsid w:val="2785D5D4"/>
    <w:rsid w:val="281FB38D"/>
    <w:rsid w:val="28CC245D"/>
    <w:rsid w:val="298D09D9"/>
    <w:rsid w:val="29E33B27"/>
    <w:rsid w:val="2A4AD7B1"/>
    <w:rsid w:val="2A6E70C6"/>
    <w:rsid w:val="2B1D2E7B"/>
    <w:rsid w:val="2B2AD75D"/>
    <w:rsid w:val="2C19B89E"/>
    <w:rsid w:val="2CFB11C4"/>
    <w:rsid w:val="2DA11377"/>
    <w:rsid w:val="2DBB6B83"/>
    <w:rsid w:val="2DD73ECF"/>
    <w:rsid w:val="2E5E9976"/>
    <w:rsid w:val="30DB6559"/>
    <w:rsid w:val="30ED942B"/>
    <w:rsid w:val="328B30DD"/>
    <w:rsid w:val="3293C247"/>
    <w:rsid w:val="32A6C117"/>
    <w:rsid w:val="32C5C2F1"/>
    <w:rsid w:val="330FAE7F"/>
    <w:rsid w:val="33A7B52F"/>
    <w:rsid w:val="34F21E56"/>
    <w:rsid w:val="3629B61F"/>
    <w:rsid w:val="3669A223"/>
    <w:rsid w:val="38903279"/>
    <w:rsid w:val="38E60D2A"/>
    <w:rsid w:val="395FE118"/>
    <w:rsid w:val="3A2C4086"/>
    <w:rsid w:val="3A729D9C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40519A61"/>
    <w:rsid w:val="40702A75"/>
    <w:rsid w:val="4088B6A7"/>
    <w:rsid w:val="414C49C8"/>
    <w:rsid w:val="4427B630"/>
    <w:rsid w:val="44455350"/>
    <w:rsid w:val="446EAF6B"/>
    <w:rsid w:val="44D41F5E"/>
    <w:rsid w:val="457FD475"/>
    <w:rsid w:val="45CA6717"/>
    <w:rsid w:val="462DD02D"/>
    <w:rsid w:val="468F2B1B"/>
    <w:rsid w:val="469F76D0"/>
    <w:rsid w:val="47BF6962"/>
    <w:rsid w:val="47D9F234"/>
    <w:rsid w:val="4914C921"/>
    <w:rsid w:val="4AD17174"/>
    <w:rsid w:val="4B9DF6AC"/>
    <w:rsid w:val="4BA1F253"/>
    <w:rsid w:val="4C6A0129"/>
    <w:rsid w:val="4D69E538"/>
    <w:rsid w:val="4E090726"/>
    <w:rsid w:val="50320B33"/>
    <w:rsid w:val="527D0BBC"/>
    <w:rsid w:val="5390E43D"/>
    <w:rsid w:val="54D106CF"/>
    <w:rsid w:val="550CD764"/>
    <w:rsid w:val="578AB577"/>
    <w:rsid w:val="57C03892"/>
    <w:rsid w:val="580BA766"/>
    <w:rsid w:val="582796CC"/>
    <w:rsid w:val="588643B0"/>
    <w:rsid w:val="5921BCD7"/>
    <w:rsid w:val="5B8D6A71"/>
    <w:rsid w:val="5BFDFE24"/>
    <w:rsid w:val="5D78D5CF"/>
    <w:rsid w:val="5DA38708"/>
    <w:rsid w:val="5DB11F19"/>
    <w:rsid w:val="5DEEED6E"/>
    <w:rsid w:val="5E4DE397"/>
    <w:rsid w:val="5E7C143E"/>
    <w:rsid w:val="5EDFDB20"/>
    <w:rsid w:val="5FCD2358"/>
    <w:rsid w:val="60205D23"/>
    <w:rsid w:val="60509B27"/>
    <w:rsid w:val="60680B66"/>
    <w:rsid w:val="60E91D79"/>
    <w:rsid w:val="61415729"/>
    <w:rsid w:val="622F53E8"/>
    <w:rsid w:val="62969923"/>
    <w:rsid w:val="62D372A9"/>
    <w:rsid w:val="62FBE26E"/>
    <w:rsid w:val="6310BF22"/>
    <w:rsid w:val="63AFC611"/>
    <w:rsid w:val="648682BC"/>
    <w:rsid w:val="64DAB639"/>
    <w:rsid w:val="64EE30BB"/>
    <w:rsid w:val="666C3D93"/>
    <w:rsid w:val="66FAB7B3"/>
    <w:rsid w:val="685122E1"/>
    <w:rsid w:val="68C68383"/>
    <w:rsid w:val="697F21C3"/>
    <w:rsid w:val="6BE60A90"/>
    <w:rsid w:val="6C068573"/>
    <w:rsid w:val="6C18C512"/>
    <w:rsid w:val="6CEC9FB0"/>
    <w:rsid w:val="6E3187B0"/>
    <w:rsid w:val="6E3F4BC0"/>
    <w:rsid w:val="6FA8D649"/>
    <w:rsid w:val="702D6796"/>
    <w:rsid w:val="716AC35C"/>
    <w:rsid w:val="72C686AF"/>
    <w:rsid w:val="73F1FF79"/>
    <w:rsid w:val="743747D0"/>
    <w:rsid w:val="75DF68BF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A41EA7D"/>
    <w:rsid w:val="7A49C1B3"/>
    <w:rsid w:val="7AF1F4A5"/>
    <w:rsid w:val="7AF87951"/>
    <w:rsid w:val="7CADB2E2"/>
    <w:rsid w:val="7CBF19A7"/>
    <w:rsid w:val="7E166815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B0222E20-E067-4645-BF96-5B6821F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3E595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C79B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C79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yperlink" Target="mailto:vosullivan@mitre.org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Mike.shearin@gtri.gatech.edu" TargetMode="Externa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yperlink" Target="mailto:Jonathan.sham@ngc.com" TargetMode="External"/><Relationship Id="rId25" Type="http://schemas.openxmlformats.org/officeDocument/2006/relationships/hyperlink" Target="mailto:Kelli.a.houston@lmc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mber.gilbert.1@us.af.mil" TargetMode="External"/><Relationship Id="rId20" Type="http://schemas.openxmlformats.org/officeDocument/2006/relationships/hyperlink" Target="mailto:ryeman@sei.cmu.ed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hyperlink" Target="mailto:Ncrews.btcs@gmail.com" TargetMode="Externa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hyperlink" Target="mailto:jjhugues@sei.cmu.edu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Hema.manivannan@dla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hyperlink" Target="mailto:Chris.schreiber@lmco.com" TargetMode="Externa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4084D-4A6B-48E2-9E36-2835F01F84B1}" type="doc">
      <dgm:prSet loTypeId="urn:microsoft.com/office/officeart/2005/8/layout/process2" loCatId="process" qsTypeId="urn:microsoft.com/office/officeart/2005/8/quickstyle/simple4" qsCatId="simple" csTypeId="urn:microsoft.com/office/officeart/2005/8/colors/colorful5" csCatId="colorful" phldr="1"/>
      <dgm:spPr/>
    </dgm:pt>
    <dgm:pt modelId="{92DFDA07-02F3-4D43-B3A0-85BDE12D417B}">
      <dgm:prSet phldrT="[Text]"/>
      <dgm:spPr/>
      <dgm:t>
        <a:bodyPr/>
        <a:lstStyle/>
        <a:p>
          <a:r>
            <a:rPr lang="en-US"/>
            <a:t>What is the review scope/focus?</a:t>
          </a:r>
        </a:p>
      </dgm:t>
    </dgm:pt>
    <dgm:pt modelId="{90473765-30FC-4E4E-ACFA-7E4320DFCF1D}" type="parTrans" cxnId="{9B9B9952-6A38-4641-AB59-08E635E2619C}">
      <dgm:prSet/>
      <dgm:spPr/>
      <dgm:t>
        <a:bodyPr/>
        <a:lstStyle/>
        <a:p>
          <a:endParaRPr lang="en-US"/>
        </a:p>
      </dgm:t>
    </dgm:pt>
    <dgm:pt modelId="{0B5166F7-B1F4-4463-897E-C110F208F4DE}" type="sibTrans" cxnId="{9B9B9952-6A38-4641-AB59-08E635E2619C}">
      <dgm:prSet/>
      <dgm:spPr/>
      <dgm:t>
        <a:bodyPr/>
        <a:lstStyle/>
        <a:p>
          <a:endParaRPr lang="en-US"/>
        </a:p>
      </dgm:t>
    </dgm:pt>
    <dgm:pt modelId="{3E1DBA8A-13F6-4B58-9A51-6490AC11E7AE}">
      <dgm:prSet phldrT="[Text]"/>
      <dgm:spPr/>
      <dgm:t>
        <a:bodyPr/>
        <a:lstStyle/>
        <a:p>
          <a:r>
            <a:rPr lang="en-US"/>
            <a:t>Are you ready for the review?</a:t>
          </a:r>
        </a:p>
      </dgm:t>
    </dgm:pt>
    <dgm:pt modelId="{B3428958-3002-4CD8-AB67-E59BEDFD730E}" type="parTrans" cxnId="{25380FA2-8DB3-48CA-8E94-DD86017C38B0}">
      <dgm:prSet/>
      <dgm:spPr/>
      <dgm:t>
        <a:bodyPr/>
        <a:lstStyle/>
        <a:p>
          <a:endParaRPr lang="en-US"/>
        </a:p>
      </dgm:t>
    </dgm:pt>
    <dgm:pt modelId="{612A5C00-93DA-4F6E-B7BB-5C0A043CFAA5}" type="sibTrans" cxnId="{25380FA2-8DB3-48CA-8E94-DD86017C38B0}">
      <dgm:prSet/>
      <dgm:spPr/>
      <dgm:t>
        <a:bodyPr/>
        <a:lstStyle/>
        <a:p>
          <a:endParaRPr lang="en-US"/>
        </a:p>
      </dgm:t>
    </dgm:pt>
    <dgm:pt modelId="{03289235-D13B-40FA-B58C-4F9D9A87142E}">
      <dgm:prSet phldrT="[Text]"/>
      <dgm:spPr/>
      <dgm:t>
        <a:bodyPr/>
        <a:lstStyle/>
        <a:p>
          <a:r>
            <a:rPr lang="en-US"/>
            <a:t>What's new/changed since last review? Including changes to CONOPS, threats, or environments</a:t>
          </a:r>
        </a:p>
      </dgm:t>
    </dgm:pt>
    <dgm:pt modelId="{13020E0C-59C8-4C45-B0A0-4ECD04F1549A}" type="parTrans" cxnId="{85019033-7018-4AB4-A929-A02BEAE416A7}">
      <dgm:prSet/>
      <dgm:spPr/>
      <dgm:t>
        <a:bodyPr/>
        <a:lstStyle/>
        <a:p>
          <a:endParaRPr lang="en-US"/>
        </a:p>
      </dgm:t>
    </dgm:pt>
    <dgm:pt modelId="{BF76EE44-24C3-4456-85B1-09B41F077511}" type="sibTrans" cxnId="{85019033-7018-4AB4-A929-A02BEAE416A7}">
      <dgm:prSet/>
      <dgm:spPr/>
      <dgm:t>
        <a:bodyPr/>
        <a:lstStyle/>
        <a:p>
          <a:endParaRPr lang="en-US"/>
        </a:p>
      </dgm:t>
    </dgm:pt>
    <dgm:pt modelId="{09182CEC-868C-4EC8-9B45-705381A777B7}">
      <dgm:prSet/>
      <dgm:spPr/>
      <dgm:t>
        <a:bodyPr/>
        <a:lstStyle/>
        <a:p>
          <a:r>
            <a:rPr lang="en-US"/>
            <a:t>What are the risks, tradespaces, and biases?</a:t>
          </a:r>
        </a:p>
      </dgm:t>
    </dgm:pt>
    <dgm:pt modelId="{94864A89-E0C9-4B6D-BA6B-4234C5018AB5}" type="parTrans" cxnId="{637F2BB6-4D66-42E7-9F4E-F431E02D1B46}">
      <dgm:prSet/>
      <dgm:spPr/>
      <dgm:t>
        <a:bodyPr/>
        <a:lstStyle/>
        <a:p>
          <a:endParaRPr lang="en-US"/>
        </a:p>
      </dgm:t>
    </dgm:pt>
    <dgm:pt modelId="{3452EEC0-0590-4C4C-B87D-DB81A753E3F9}" type="sibTrans" cxnId="{637F2BB6-4D66-42E7-9F4E-F431E02D1B46}">
      <dgm:prSet/>
      <dgm:spPr/>
      <dgm:t>
        <a:bodyPr/>
        <a:lstStyle/>
        <a:p>
          <a:endParaRPr lang="en-US"/>
        </a:p>
      </dgm:t>
    </dgm:pt>
    <dgm:pt modelId="{EDFFDA86-56C7-4F29-A7F7-F489970EE2C6}">
      <dgm:prSet/>
      <dgm:spPr/>
      <dgm:t>
        <a:bodyPr/>
        <a:lstStyle/>
        <a:p>
          <a:r>
            <a:rPr lang="en-US"/>
            <a:t>Technical team deep review</a:t>
          </a:r>
        </a:p>
      </dgm:t>
    </dgm:pt>
    <dgm:pt modelId="{D43DA28D-F669-4784-B5FB-505C358C95B0}" type="parTrans" cxnId="{46C78075-763A-451C-AEF8-1E7F550088FF}">
      <dgm:prSet/>
      <dgm:spPr/>
      <dgm:t>
        <a:bodyPr/>
        <a:lstStyle/>
        <a:p>
          <a:endParaRPr lang="en-US"/>
        </a:p>
      </dgm:t>
    </dgm:pt>
    <dgm:pt modelId="{9E9C2052-4431-4493-80CE-A24D01431931}" type="sibTrans" cxnId="{46C78075-763A-451C-AEF8-1E7F550088FF}">
      <dgm:prSet/>
      <dgm:spPr/>
      <dgm:t>
        <a:bodyPr/>
        <a:lstStyle/>
        <a:p>
          <a:endParaRPr lang="en-US"/>
        </a:p>
      </dgm:t>
    </dgm:pt>
    <dgm:pt modelId="{B5A9EDB7-C571-477D-9E30-762F55045B6E}">
      <dgm:prSet/>
      <dgm:spPr/>
      <dgm:t>
        <a:bodyPr/>
        <a:lstStyle/>
        <a:p>
          <a:r>
            <a:rPr lang="en-US"/>
            <a:t>Full team review with technical risks &amp; options defined where non-ENs can understand for decision-making</a:t>
          </a:r>
        </a:p>
      </dgm:t>
    </dgm:pt>
    <dgm:pt modelId="{16F02474-627B-4C5D-BF1C-2D539A375535}" type="parTrans" cxnId="{8E463248-C102-4855-B8E2-4D65C7FD6550}">
      <dgm:prSet/>
      <dgm:spPr/>
      <dgm:t>
        <a:bodyPr/>
        <a:lstStyle/>
        <a:p>
          <a:endParaRPr lang="en-US"/>
        </a:p>
      </dgm:t>
    </dgm:pt>
    <dgm:pt modelId="{ADD4FFE8-3F76-4890-AFFE-A26782D3F533}" type="sibTrans" cxnId="{8E463248-C102-4855-B8E2-4D65C7FD6550}">
      <dgm:prSet/>
      <dgm:spPr/>
      <dgm:t>
        <a:bodyPr/>
        <a:lstStyle/>
        <a:p>
          <a:endParaRPr lang="en-US"/>
        </a:p>
      </dgm:t>
    </dgm:pt>
    <dgm:pt modelId="{F2FC55CC-FFF6-4450-9CDE-7A58E00BD9ED}" type="pres">
      <dgm:prSet presAssocID="{8064084D-4A6B-48E2-9E36-2835F01F84B1}" presName="linearFlow" presStyleCnt="0">
        <dgm:presLayoutVars>
          <dgm:resizeHandles val="exact"/>
        </dgm:presLayoutVars>
      </dgm:prSet>
      <dgm:spPr/>
    </dgm:pt>
    <dgm:pt modelId="{5C8557D7-CCB5-4C10-827E-0A8E4A4642C1}" type="pres">
      <dgm:prSet presAssocID="{92DFDA07-02F3-4D43-B3A0-85BDE12D417B}" presName="node" presStyleLbl="node1" presStyleIdx="0" presStyleCnt="6">
        <dgm:presLayoutVars>
          <dgm:bulletEnabled val="1"/>
        </dgm:presLayoutVars>
      </dgm:prSet>
      <dgm:spPr/>
    </dgm:pt>
    <dgm:pt modelId="{83B2FCDA-81DA-4AE4-AC14-E1221C7484CE}" type="pres">
      <dgm:prSet presAssocID="{0B5166F7-B1F4-4463-897E-C110F208F4DE}" presName="sibTrans" presStyleLbl="sibTrans2D1" presStyleIdx="0" presStyleCnt="5"/>
      <dgm:spPr/>
    </dgm:pt>
    <dgm:pt modelId="{F678A69E-F3A7-4B18-9942-834220FB58D7}" type="pres">
      <dgm:prSet presAssocID="{0B5166F7-B1F4-4463-897E-C110F208F4DE}" presName="connectorText" presStyleLbl="sibTrans2D1" presStyleIdx="0" presStyleCnt="5"/>
      <dgm:spPr/>
    </dgm:pt>
    <dgm:pt modelId="{1CC9BAB8-32AE-4A2A-9B81-315A5C4C0B0F}" type="pres">
      <dgm:prSet presAssocID="{3E1DBA8A-13F6-4B58-9A51-6490AC11E7AE}" presName="node" presStyleLbl="node1" presStyleIdx="1" presStyleCnt="6">
        <dgm:presLayoutVars>
          <dgm:bulletEnabled val="1"/>
        </dgm:presLayoutVars>
      </dgm:prSet>
      <dgm:spPr/>
    </dgm:pt>
    <dgm:pt modelId="{D4CAF7F4-7008-43A2-A64A-22D2FA330EA8}" type="pres">
      <dgm:prSet presAssocID="{612A5C00-93DA-4F6E-B7BB-5C0A043CFAA5}" presName="sibTrans" presStyleLbl="sibTrans2D1" presStyleIdx="1" presStyleCnt="5"/>
      <dgm:spPr/>
    </dgm:pt>
    <dgm:pt modelId="{95D0998C-F59E-4CCA-A724-2B2B2EE09632}" type="pres">
      <dgm:prSet presAssocID="{612A5C00-93DA-4F6E-B7BB-5C0A043CFAA5}" presName="connectorText" presStyleLbl="sibTrans2D1" presStyleIdx="1" presStyleCnt="5"/>
      <dgm:spPr/>
    </dgm:pt>
    <dgm:pt modelId="{5F785CCD-4212-4DA3-82B9-4517ED3CD242}" type="pres">
      <dgm:prSet presAssocID="{03289235-D13B-40FA-B58C-4F9D9A87142E}" presName="node" presStyleLbl="node1" presStyleIdx="2" presStyleCnt="6">
        <dgm:presLayoutVars>
          <dgm:bulletEnabled val="1"/>
        </dgm:presLayoutVars>
      </dgm:prSet>
      <dgm:spPr/>
    </dgm:pt>
    <dgm:pt modelId="{7ED06370-FE62-484E-A3C2-99D510C4FE58}" type="pres">
      <dgm:prSet presAssocID="{BF76EE44-24C3-4456-85B1-09B41F077511}" presName="sibTrans" presStyleLbl="sibTrans2D1" presStyleIdx="2" presStyleCnt="5"/>
      <dgm:spPr/>
    </dgm:pt>
    <dgm:pt modelId="{03C3925F-1925-481A-A2C4-C97EC3A8FCED}" type="pres">
      <dgm:prSet presAssocID="{BF76EE44-24C3-4456-85B1-09B41F077511}" presName="connectorText" presStyleLbl="sibTrans2D1" presStyleIdx="2" presStyleCnt="5"/>
      <dgm:spPr/>
    </dgm:pt>
    <dgm:pt modelId="{68D9DB7D-6AD3-4062-A375-CDE6BFEE78A7}" type="pres">
      <dgm:prSet presAssocID="{09182CEC-868C-4EC8-9B45-705381A777B7}" presName="node" presStyleLbl="node1" presStyleIdx="3" presStyleCnt="6">
        <dgm:presLayoutVars>
          <dgm:bulletEnabled val="1"/>
        </dgm:presLayoutVars>
      </dgm:prSet>
      <dgm:spPr/>
    </dgm:pt>
    <dgm:pt modelId="{E536E3C4-8170-485F-B303-0609668F778A}" type="pres">
      <dgm:prSet presAssocID="{3452EEC0-0590-4C4C-B87D-DB81A753E3F9}" presName="sibTrans" presStyleLbl="sibTrans2D1" presStyleIdx="3" presStyleCnt="5"/>
      <dgm:spPr/>
    </dgm:pt>
    <dgm:pt modelId="{74BB7CD8-B2B6-4BC3-B6AB-71C51D3DD889}" type="pres">
      <dgm:prSet presAssocID="{3452EEC0-0590-4C4C-B87D-DB81A753E3F9}" presName="connectorText" presStyleLbl="sibTrans2D1" presStyleIdx="3" presStyleCnt="5"/>
      <dgm:spPr/>
    </dgm:pt>
    <dgm:pt modelId="{EB7A44A0-ABB5-471A-A67C-CC04478DEBF9}" type="pres">
      <dgm:prSet presAssocID="{EDFFDA86-56C7-4F29-A7F7-F489970EE2C6}" presName="node" presStyleLbl="node1" presStyleIdx="4" presStyleCnt="6">
        <dgm:presLayoutVars>
          <dgm:bulletEnabled val="1"/>
        </dgm:presLayoutVars>
      </dgm:prSet>
      <dgm:spPr/>
    </dgm:pt>
    <dgm:pt modelId="{CA066D20-241B-45BE-8D06-6ED922A42061}" type="pres">
      <dgm:prSet presAssocID="{9E9C2052-4431-4493-80CE-A24D01431931}" presName="sibTrans" presStyleLbl="sibTrans2D1" presStyleIdx="4" presStyleCnt="5"/>
      <dgm:spPr/>
    </dgm:pt>
    <dgm:pt modelId="{2CBC01E6-F33E-4A22-9F3F-F215E7CEDD89}" type="pres">
      <dgm:prSet presAssocID="{9E9C2052-4431-4493-80CE-A24D01431931}" presName="connectorText" presStyleLbl="sibTrans2D1" presStyleIdx="4" presStyleCnt="5"/>
      <dgm:spPr/>
    </dgm:pt>
    <dgm:pt modelId="{905DD92F-6CF3-4C38-9ED6-83D13B1EA5B9}" type="pres">
      <dgm:prSet presAssocID="{B5A9EDB7-C571-477D-9E30-762F55045B6E}" presName="node" presStyleLbl="node1" presStyleIdx="5" presStyleCnt="6">
        <dgm:presLayoutVars>
          <dgm:bulletEnabled val="1"/>
        </dgm:presLayoutVars>
      </dgm:prSet>
      <dgm:spPr/>
    </dgm:pt>
  </dgm:ptLst>
  <dgm:cxnLst>
    <dgm:cxn modelId="{E458F71C-8A73-4E54-A1F8-9BEC5CA8A641}" type="presOf" srcId="{3E1DBA8A-13F6-4B58-9A51-6490AC11E7AE}" destId="{1CC9BAB8-32AE-4A2A-9B81-315A5C4C0B0F}" srcOrd="0" destOrd="0" presId="urn:microsoft.com/office/officeart/2005/8/layout/process2"/>
    <dgm:cxn modelId="{85019033-7018-4AB4-A929-A02BEAE416A7}" srcId="{8064084D-4A6B-48E2-9E36-2835F01F84B1}" destId="{03289235-D13B-40FA-B58C-4F9D9A87142E}" srcOrd="2" destOrd="0" parTransId="{13020E0C-59C8-4C45-B0A0-4ECD04F1549A}" sibTransId="{BF76EE44-24C3-4456-85B1-09B41F077511}"/>
    <dgm:cxn modelId="{4D35E05B-4672-45C9-BEC7-233B9D586346}" type="presOf" srcId="{B5A9EDB7-C571-477D-9E30-762F55045B6E}" destId="{905DD92F-6CF3-4C38-9ED6-83D13B1EA5B9}" srcOrd="0" destOrd="0" presId="urn:microsoft.com/office/officeart/2005/8/layout/process2"/>
    <dgm:cxn modelId="{A111E060-600F-4E7F-8A58-98EB46DEB97B}" type="presOf" srcId="{612A5C00-93DA-4F6E-B7BB-5C0A043CFAA5}" destId="{D4CAF7F4-7008-43A2-A64A-22D2FA330EA8}" srcOrd="0" destOrd="0" presId="urn:microsoft.com/office/officeart/2005/8/layout/process2"/>
    <dgm:cxn modelId="{FD8A8062-FB27-44F2-9041-08F17472C735}" type="presOf" srcId="{03289235-D13B-40FA-B58C-4F9D9A87142E}" destId="{5F785CCD-4212-4DA3-82B9-4517ED3CD242}" srcOrd="0" destOrd="0" presId="urn:microsoft.com/office/officeart/2005/8/layout/process2"/>
    <dgm:cxn modelId="{8E463248-C102-4855-B8E2-4D65C7FD6550}" srcId="{8064084D-4A6B-48E2-9E36-2835F01F84B1}" destId="{B5A9EDB7-C571-477D-9E30-762F55045B6E}" srcOrd="5" destOrd="0" parTransId="{16F02474-627B-4C5D-BF1C-2D539A375535}" sibTransId="{ADD4FFE8-3F76-4890-AFFE-A26782D3F533}"/>
    <dgm:cxn modelId="{4ED46A49-8E0C-45D5-A148-A42BAEE07F51}" type="presOf" srcId="{92DFDA07-02F3-4D43-B3A0-85BDE12D417B}" destId="{5C8557D7-CCB5-4C10-827E-0A8E4A4642C1}" srcOrd="0" destOrd="0" presId="urn:microsoft.com/office/officeart/2005/8/layout/process2"/>
    <dgm:cxn modelId="{F18C3351-58BB-4942-88EA-D09AC838613B}" type="presOf" srcId="{0B5166F7-B1F4-4463-897E-C110F208F4DE}" destId="{83B2FCDA-81DA-4AE4-AC14-E1221C7484CE}" srcOrd="0" destOrd="0" presId="urn:microsoft.com/office/officeart/2005/8/layout/process2"/>
    <dgm:cxn modelId="{D53DCF71-48A0-4F2C-9DE0-1C1C551E6A70}" type="presOf" srcId="{09182CEC-868C-4EC8-9B45-705381A777B7}" destId="{68D9DB7D-6AD3-4062-A375-CDE6BFEE78A7}" srcOrd="0" destOrd="0" presId="urn:microsoft.com/office/officeart/2005/8/layout/process2"/>
    <dgm:cxn modelId="{9B9B9952-6A38-4641-AB59-08E635E2619C}" srcId="{8064084D-4A6B-48E2-9E36-2835F01F84B1}" destId="{92DFDA07-02F3-4D43-B3A0-85BDE12D417B}" srcOrd="0" destOrd="0" parTransId="{90473765-30FC-4E4E-ACFA-7E4320DFCF1D}" sibTransId="{0B5166F7-B1F4-4463-897E-C110F208F4DE}"/>
    <dgm:cxn modelId="{48426873-C7DA-4834-85BC-DD9FDB91C163}" type="presOf" srcId="{9E9C2052-4431-4493-80CE-A24D01431931}" destId="{2CBC01E6-F33E-4A22-9F3F-F215E7CEDD89}" srcOrd="1" destOrd="0" presId="urn:microsoft.com/office/officeart/2005/8/layout/process2"/>
    <dgm:cxn modelId="{46C78075-763A-451C-AEF8-1E7F550088FF}" srcId="{8064084D-4A6B-48E2-9E36-2835F01F84B1}" destId="{EDFFDA86-56C7-4F29-A7F7-F489970EE2C6}" srcOrd="4" destOrd="0" parTransId="{D43DA28D-F669-4784-B5FB-505C358C95B0}" sibTransId="{9E9C2052-4431-4493-80CE-A24D01431931}"/>
    <dgm:cxn modelId="{529A7956-5042-438C-B195-2B3B5DCD288E}" type="presOf" srcId="{BF76EE44-24C3-4456-85B1-09B41F077511}" destId="{7ED06370-FE62-484E-A3C2-99D510C4FE58}" srcOrd="0" destOrd="0" presId="urn:microsoft.com/office/officeart/2005/8/layout/process2"/>
    <dgm:cxn modelId="{05E4F39B-4678-48B5-A08B-979D649CEB66}" type="presOf" srcId="{8064084D-4A6B-48E2-9E36-2835F01F84B1}" destId="{F2FC55CC-FFF6-4450-9CDE-7A58E00BD9ED}" srcOrd="0" destOrd="0" presId="urn:microsoft.com/office/officeart/2005/8/layout/process2"/>
    <dgm:cxn modelId="{25380FA2-8DB3-48CA-8E94-DD86017C38B0}" srcId="{8064084D-4A6B-48E2-9E36-2835F01F84B1}" destId="{3E1DBA8A-13F6-4B58-9A51-6490AC11E7AE}" srcOrd="1" destOrd="0" parTransId="{B3428958-3002-4CD8-AB67-E59BEDFD730E}" sibTransId="{612A5C00-93DA-4F6E-B7BB-5C0A043CFAA5}"/>
    <dgm:cxn modelId="{61A79CB4-15C9-491F-B928-34E59FF6C0BD}" type="presOf" srcId="{BF76EE44-24C3-4456-85B1-09B41F077511}" destId="{03C3925F-1925-481A-A2C4-C97EC3A8FCED}" srcOrd="1" destOrd="0" presId="urn:microsoft.com/office/officeart/2005/8/layout/process2"/>
    <dgm:cxn modelId="{FBD5CBB5-78B2-412E-96E3-069C108F1FC6}" type="presOf" srcId="{612A5C00-93DA-4F6E-B7BB-5C0A043CFAA5}" destId="{95D0998C-F59E-4CCA-A724-2B2B2EE09632}" srcOrd="1" destOrd="0" presId="urn:microsoft.com/office/officeart/2005/8/layout/process2"/>
    <dgm:cxn modelId="{637F2BB6-4D66-42E7-9F4E-F431E02D1B46}" srcId="{8064084D-4A6B-48E2-9E36-2835F01F84B1}" destId="{09182CEC-868C-4EC8-9B45-705381A777B7}" srcOrd="3" destOrd="0" parTransId="{94864A89-E0C9-4B6D-BA6B-4234C5018AB5}" sibTransId="{3452EEC0-0590-4C4C-B87D-DB81A753E3F9}"/>
    <dgm:cxn modelId="{4FC1CDBC-F42D-4267-97F8-09346BD6275E}" type="presOf" srcId="{9E9C2052-4431-4493-80CE-A24D01431931}" destId="{CA066D20-241B-45BE-8D06-6ED922A42061}" srcOrd="0" destOrd="0" presId="urn:microsoft.com/office/officeart/2005/8/layout/process2"/>
    <dgm:cxn modelId="{5188A9D4-5DA9-4746-9196-9E049508E388}" type="presOf" srcId="{EDFFDA86-56C7-4F29-A7F7-F489970EE2C6}" destId="{EB7A44A0-ABB5-471A-A67C-CC04478DEBF9}" srcOrd="0" destOrd="0" presId="urn:microsoft.com/office/officeart/2005/8/layout/process2"/>
    <dgm:cxn modelId="{A56BBEED-799D-44E3-ADB7-7E63EBFFF4E7}" type="presOf" srcId="{0B5166F7-B1F4-4463-897E-C110F208F4DE}" destId="{F678A69E-F3A7-4B18-9942-834220FB58D7}" srcOrd="1" destOrd="0" presId="urn:microsoft.com/office/officeart/2005/8/layout/process2"/>
    <dgm:cxn modelId="{A128DBF3-CAA5-40F5-89FF-0ADC7BB5FB80}" type="presOf" srcId="{3452EEC0-0590-4C4C-B87D-DB81A753E3F9}" destId="{74BB7CD8-B2B6-4BC3-B6AB-71C51D3DD889}" srcOrd="1" destOrd="0" presId="urn:microsoft.com/office/officeart/2005/8/layout/process2"/>
    <dgm:cxn modelId="{F6DA40F9-EFAC-49B1-80A7-4079C2FAF90D}" type="presOf" srcId="{3452EEC0-0590-4C4C-B87D-DB81A753E3F9}" destId="{E536E3C4-8170-485F-B303-0609668F778A}" srcOrd="0" destOrd="0" presId="urn:microsoft.com/office/officeart/2005/8/layout/process2"/>
    <dgm:cxn modelId="{2392739B-8E8F-453C-A6E7-5DDECE45038A}" type="presParOf" srcId="{F2FC55CC-FFF6-4450-9CDE-7A58E00BD9ED}" destId="{5C8557D7-CCB5-4C10-827E-0A8E4A4642C1}" srcOrd="0" destOrd="0" presId="urn:microsoft.com/office/officeart/2005/8/layout/process2"/>
    <dgm:cxn modelId="{56B1016A-910D-41C4-B301-3F47839AD1AF}" type="presParOf" srcId="{F2FC55CC-FFF6-4450-9CDE-7A58E00BD9ED}" destId="{83B2FCDA-81DA-4AE4-AC14-E1221C7484CE}" srcOrd="1" destOrd="0" presId="urn:microsoft.com/office/officeart/2005/8/layout/process2"/>
    <dgm:cxn modelId="{5FCAEBFF-CF0A-405C-A98F-0A890E67F5CE}" type="presParOf" srcId="{83B2FCDA-81DA-4AE4-AC14-E1221C7484CE}" destId="{F678A69E-F3A7-4B18-9942-834220FB58D7}" srcOrd="0" destOrd="0" presId="urn:microsoft.com/office/officeart/2005/8/layout/process2"/>
    <dgm:cxn modelId="{455A8182-85D4-4FA3-BD33-970E2CAB20E2}" type="presParOf" srcId="{F2FC55CC-FFF6-4450-9CDE-7A58E00BD9ED}" destId="{1CC9BAB8-32AE-4A2A-9B81-315A5C4C0B0F}" srcOrd="2" destOrd="0" presId="urn:microsoft.com/office/officeart/2005/8/layout/process2"/>
    <dgm:cxn modelId="{A13BDB18-B10B-4DB7-8F1F-AC85962CA78B}" type="presParOf" srcId="{F2FC55CC-FFF6-4450-9CDE-7A58E00BD9ED}" destId="{D4CAF7F4-7008-43A2-A64A-22D2FA330EA8}" srcOrd="3" destOrd="0" presId="urn:microsoft.com/office/officeart/2005/8/layout/process2"/>
    <dgm:cxn modelId="{C7AF6C5B-9F51-4A9E-8378-F935C9B26CE5}" type="presParOf" srcId="{D4CAF7F4-7008-43A2-A64A-22D2FA330EA8}" destId="{95D0998C-F59E-4CCA-A724-2B2B2EE09632}" srcOrd="0" destOrd="0" presId="urn:microsoft.com/office/officeart/2005/8/layout/process2"/>
    <dgm:cxn modelId="{4B6C8726-7326-4AF0-B57B-181A3E9E4162}" type="presParOf" srcId="{F2FC55CC-FFF6-4450-9CDE-7A58E00BD9ED}" destId="{5F785CCD-4212-4DA3-82B9-4517ED3CD242}" srcOrd="4" destOrd="0" presId="urn:microsoft.com/office/officeart/2005/8/layout/process2"/>
    <dgm:cxn modelId="{45239EFA-FBFA-4308-BD1D-85AA8ACEB770}" type="presParOf" srcId="{F2FC55CC-FFF6-4450-9CDE-7A58E00BD9ED}" destId="{7ED06370-FE62-484E-A3C2-99D510C4FE58}" srcOrd="5" destOrd="0" presId="urn:microsoft.com/office/officeart/2005/8/layout/process2"/>
    <dgm:cxn modelId="{5254D7C5-11AE-419E-A3D1-ABF9CD8F10BF}" type="presParOf" srcId="{7ED06370-FE62-484E-A3C2-99D510C4FE58}" destId="{03C3925F-1925-481A-A2C4-C97EC3A8FCED}" srcOrd="0" destOrd="0" presId="urn:microsoft.com/office/officeart/2005/8/layout/process2"/>
    <dgm:cxn modelId="{DC0BF2AB-A671-43CB-867E-6478C6157539}" type="presParOf" srcId="{F2FC55CC-FFF6-4450-9CDE-7A58E00BD9ED}" destId="{68D9DB7D-6AD3-4062-A375-CDE6BFEE78A7}" srcOrd="6" destOrd="0" presId="urn:microsoft.com/office/officeart/2005/8/layout/process2"/>
    <dgm:cxn modelId="{5A4490A0-681D-4F11-A54E-BC989BA2A6BE}" type="presParOf" srcId="{F2FC55CC-FFF6-4450-9CDE-7A58E00BD9ED}" destId="{E536E3C4-8170-485F-B303-0609668F778A}" srcOrd="7" destOrd="0" presId="urn:microsoft.com/office/officeart/2005/8/layout/process2"/>
    <dgm:cxn modelId="{00757232-3AC8-4CBA-9D02-3CF1AC39392D}" type="presParOf" srcId="{E536E3C4-8170-485F-B303-0609668F778A}" destId="{74BB7CD8-B2B6-4BC3-B6AB-71C51D3DD889}" srcOrd="0" destOrd="0" presId="urn:microsoft.com/office/officeart/2005/8/layout/process2"/>
    <dgm:cxn modelId="{136098B1-D11B-4EB4-8C10-F402E57C9E60}" type="presParOf" srcId="{F2FC55CC-FFF6-4450-9CDE-7A58E00BD9ED}" destId="{EB7A44A0-ABB5-471A-A67C-CC04478DEBF9}" srcOrd="8" destOrd="0" presId="urn:microsoft.com/office/officeart/2005/8/layout/process2"/>
    <dgm:cxn modelId="{2FB33600-FAA9-4310-8F89-D5254D9C390B}" type="presParOf" srcId="{F2FC55CC-FFF6-4450-9CDE-7A58E00BD9ED}" destId="{CA066D20-241B-45BE-8D06-6ED922A42061}" srcOrd="9" destOrd="0" presId="urn:microsoft.com/office/officeart/2005/8/layout/process2"/>
    <dgm:cxn modelId="{43B3BC30-D57D-41EF-B354-F3A81714E9D4}" type="presParOf" srcId="{CA066D20-241B-45BE-8D06-6ED922A42061}" destId="{2CBC01E6-F33E-4A22-9F3F-F215E7CEDD89}" srcOrd="0" destOrd="0" presId="urn:microsoft.com/office/officeart/2005/8/layout/process2"/>
    <dgm:cxn modelId="{FE4451B3-F2B6-45F9-B6D2-CBEED7603D51}" type="presParOf" srcId="{F2FC55CC-FFF6-4450-9CDE-7A58E00BD9ED}" destId="{905DD92F-6CF3-4C38-9ED6-83D13B1EA5B9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8557D7-CCB5-4C10-827E-0A8E4A4642C1}">
      <dsp:nvSpPr>
        <dsp:cNvPr id="0" name=""/>
        <dsp:cNvSpPr/>
      </dsp:nvSpPr>
      <dsp:spPr>
        <a:xfrm>
          <a:off x="1596684" y="2085"/>
          <a:ext cx="2293030" cy="6180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What is the review scope/focus?</a:t>
          </a:r>
        </a:p>
      </dsp:txBody>
      <dsp:txXfrm>
        <a:off x="1614787" y="20188"/>
        <a:ext cx="2256824" cy="581867"/>
      </dsp:txXfrm>
    </dsp:sp>
    <dsp:sp modelId="{83B2FCDA-81DA-4AE4-AC14-E1221C7484CE}">
      <dsp:nvSpPr>
        <dsp:cNvPr id="0" name=""/>
        <dsp:cNvSpPr/>
      </dsp:nvSpPr>
      <dsp:spPr>
        <a:xfrm rot="5400000">
          <a:off x="2627311" y="635611"/>
          <a:ext cx="231777" cy="27813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59761" y="658789"/>
        <a:ext cx="166879" cy="162244"/>
      </dsp:txXfrm>
    </dsp:sp>
    <dsp:sp modelId="{1CC9BAB8-32AE-4A2A-9B81-315A5C4C0B0F}">
      <dsp:nvSpPr>
        <dsp:cNvPr id="0" name=""/>
        <dsp:cNvSpPr/>
      </dsp:nvSpPr>
      <dsp:spPr>
        <a:xfrm>
          <a:off x="1596684" y="929196"/>
          <a:ext cx="2293030" cy="6180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430430"/>
                <a:satOff val="-165"/>
                <a:lumOff val="39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430430"/>
                <a:satOff val="-165"/>
                <a:lumOff val="39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430430"/>
                <a:satOff val="-165"/>
                <a:lumOff val="39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Are you ready for the review?</a:t>
          </a:r>
        </a:p>
      </dsp:txBody>
      <dsp:txXfrm>
        <a:off x="1614787" y="947299"/>
        <a:ext cx="2256824" cy="581867"/>
      </dsp:txXfrm>
    </dsp:sp>
    <dsp:sp modelId="{D4CAF7F4-7008-43A2-A64A-22D2FA330EA8}">
      <dsp:nvSpPr>
        <dsp:cNvPr id="0" name=""/>
        <dsp:cNvSpPr/>
      </dsp:nvSpPr>
      <dsp:spPr>
        <a:xfrm rot="5400000">
          <a:off x="2627311" y="1562722"/>
          <a:ext cx="231777" cy="27813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038037"/>
                <a:satOff val="-207"/>
                <a:lumOff val="49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038037"/>
                <a:satOff val="-207"/>
                <a:lumOff val="49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038037"/>
                <a:satOff val="-207"/>
                <a:lumOff val="49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59761" y="1585900"/>
        <a:ext cx="166879" cy="162244"/>
      </dsp:txXfrm>
    </dsp:sp>
    <dsp:sp modelId="{5F785CCD-4212-4DA3-82B9-4517ED3CD242}">
      <dsp:nvSpPr>
        <dsp:cNvPr id="0" name=""/>
        <dsp:cNvSpPr/>
      </dsp:nvSpPr>
      <dsp:spPr>
        <a:xfrm>
          <a:off x="1596684" y="1856307"/>
          <a:ext cx="2293030" cy="6180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860860"/>
                <a:satOff val="-330"/>
                <a:lumOff val="7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860860"/>
                <a:satOff val="-330"/>
                <a:lumOff val="7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860860"/>
                <a:satOff val="-330"/>
                <a:lumOff val="7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What's new/changed since last review? Including changes to CONOPS, threats, or environments</a:t>
          </a:r>
        </a:p>
      </dsp:txBody>
      <dsp:txXfrm>
        <a:off x="1614787" y="1874410"/>
        <a:ext cx="2256824" cy="581867"/>
      </dsp:txXfrm>
    </dsp:sp>
    <dsp:sp modelId="{7ED06370-FE62-484E-A3C2-99D510C4FE58}">
      <dsp:nvSpPr>
        <dsp:cNvPr id="0" name=""/>
        <dsp:cNvSpPr/>
      </dsp:nvSpPr>
      <dsp:spPr>
        <a:xfrm rot="5400000">
          <a:off x="2627311" y="2489833"/>
          <a:ext cx="231777" cy="27813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076075"/>
                <a:satOff val="-413"/>
                <a:lumOff val="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076075"/>
                <a:satOff val="-413"/>
                <a:lumOff val="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076075"/>
                <a:satOff val="-413"/>
                <a:lumOff val="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59761" y="2513011"/>
        <a:ext cx="166879" cy="162244"/>
      </dsp:txXfrm>
    </dsp:sp>
    <dsp:sp modelId="{68D9DB7D-6AD3-4062-A375-CDE6BFEE78A7}">
      <dsp:nvSpPr>
        <dsp:cNvPr id="0" name=""/>
        <dsp:cNvSpPr/>
      </dsp:nvSpPr>
      <dsp:spPr>
        <a:xfrm>
          <a:off x="1596684" y="2783418"/>
          <a:ext cx="2293030" cy="6180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291290"/>
                <a:satOff val="-496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291290"/>
                <a:satOff val="-496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291290"/>
                <a:satOff val="-496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What are the risks, tradespaces, and biases?</a:t>
          </a:r>
        </a:p>
      </dsp:txBody>
      <dsp:txXfrm>
        <a:off x="1614787" y="2801521"/>
        <a:ext cx="2256824" cy="581867"/>
      </dsp:txXfrm>
    </dsp:sp>
    <dsp:sp modelId="{E536E3C4-8170-485F-B303-0609668F778A}">
      <dsp:nvSpPr>
        <dsp:cNvPr id="0" name=""/>
        <dsp:cNvSpPr/>
      </dsp:nvSpPr>
      <dsp:spPr>
        <a:xfrm rot="5400000">
          <a:off x="2627311" y="3416944"/>
          <a:ext cx="231777" cy="27813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9114112"/>
                <a:satOff val="-620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9114112"/>
                <a:satOff val="-620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9114112"/>
                <a:satOff val="-620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59761" y="3440122"/>
        <a:ext cx="166879" cy="162244"/>
      </dsp:txXfrm>
    </dsp:sp>
    <dsp:sp modelId="{EB7A44A0-ABB5-471A-A67C-CC04478DEBF9}">
      <dsp:nvSpPr>
        <dsp:cNvPr id="0" name=""/>
        <dsp:cNvSpPr/>
      </dsp:nvSpPr>
      <dsp:spPr>
        <a:xfrm>
          <a:off x="1596684" y="3710529"/>
          <a:ext cx="2293030" cy="6180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9721720"/>
                <a:satOff val="-661"/>
                <a:lumOff val="15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9721720"/>
                <a:satOff val="-661"/>
                <a:lumOff val="15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9721720"/>
                <a:satOff val="-661"/>
                <a:lumOff val="15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Technical team deep review</a:t>
          </a:r>
        </a:p>
      </dsp:txBody>
      <dsp:txXfrm>
        <a:off x="1614787" y="3728632"/>
        <a:ext cx="2256824" cy="581867"/>
      </dsp:txXfrm>
    </dsp:sp>
    <dsp:sp modelId="{CA066D20-241B-45BE-8D06-6ED922A42061}">
      <dsp:nvSpPr>
        <dsp:cNvPr id="0" name=""/>
        <dsp:cNvSpPr/>
      </dsp:nvSpPr>
      <dsp:spPr>
        <a:xfrm rot="5400000">
          <a:off x="2627311" y="4344055"/>
          <a:ext cx="231777" cy="27813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12152150"/>
                <a:satOff val="-826"/>
                <a:lumOff val="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2152150"/>
                <a:satOff val="-826"/>
                <a:lumOff val="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2152150"/>
                <a:satOff val="-826"/>
                <a:lumOff val="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2659761" y="4367233"/>
        <a:ext cx="166879" cy="162244"/>
      </dsp:txXfrm>
    </dsp:sp>
    <dsp:sp modelId="{905DD92F-6CF3-4C38-9ED6-83D13B1EA5B9}">
      <dsp:nvSpPr>
        <dsp:cNvPr id="0" name=""/>
        <dsp:cNvSpPr/>
      </dsp:nvSpPr>
      <dsp:spPr>
        <a:xfrm>
          <a:off x="1596684" y="4637640"/>
          <a:ext cx="2293030" cy="6180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2152150"/>
                <a:satOff val="-826"/>
                <a:lumOff val="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2152150"/>
                <a:satOff val="-826"/>
                <a:lumOff val="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2152150"/>
                <a:satOff val="-826"/>
                <a:lumOff val="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Full team review with technical risks &amp; options defined where non-ENs can understand for decision-making</a:t>
          </a:r>
        </a:p>
      </dsp:txBody>
      <dsp:txXfrm>
        <a:off x="1614787" y="4655743"/>
        <a:ext cx="2256824" cy="5818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2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GILBERT, AMBER T CIV USAF AFMC HQAFMC/EN/ENZ</cp:lastModifiedBy>
  <cp:revision>70</cp:revision>
  <cp:lastPrinted>2024-10-24T19:47:00Z</cp:lastPrinted>
  <dcterms:created xsi:type="dcterms:W3CDTF">2024-11-04T18:59:00Z</dcterms:created>
  <dcterms:modified xsi:type="dcterms:W3CDTF">2024-11-04T19:44:00Z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