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405"/>
        <w:gridCol w:w="6210"/>
      </w:tblGrid>
      <w:tr w:rsidR="00E70D8E" w14:paraId="386FD352" w14:textId="77777777" w:rsidTr="3D2C5891">
        <w:trPr>
          <w:trHeight w:val="300"/>
        </w:trPr>
        <w:tc>
          <w:tcPr>
            <w:tcW w:w="10615" w:type="dxa"/>
            <w:gridSpan w:val="2"/>
            <w:shd w:val="clear" w:color="auto" w:fill="FFFFFF" w:themeFill="background1"/>
          </w:tcPr>
          <w:p w14:paraId="5D58F304" w14:textId="10F3A077" w:rsidR="00E70D8E" w:rsidRPr="201B7C6E" w:rsidRDefault="00E70D8E" w:rsidP="002D1DC9">
            <w:pPr>
              <w:rPr>
                <w:b/>
                <w:bCs/>
              </w:rPr>
            </w:pPr>
            <w:r>
              <w:rPr>
                <w:b/>
                <w:bCs/>
              </w:rPr>
              <w:t xml:space="preserve">Table Number:    </w:t>
            </w:r>
            <w:r w:rsidR="00146F54">
              <w:rPr>
                <w:b/>
                <w:bCs/>
              </w:rPr>
              <w:t>CDR</w:t>
            </w:r>
            <w:r>
              <w:rPr>
                <w:b/>
                <w:bCs/>
              </w:rPr>
              <w:t xml:space="preserve">                                                     Facilitator Name: </w:t>
            </w:r>
            <w:r w:rsidR="00146F54">
              <w:rPr>
                <w:b/>
                <w:bCs/>
              </w:rPr>
              <w:t xml:space="preserve"> Hoelscher</w:t>
            </w:r>
          </w:p>
        </w:tc>
      </w:tr>
      <w:tr w:rsidR="201B7C6E" w14:paraId="4997EE6A" w14:textId="77777777" w:rsidTr="3D2C5891">
        <w:trPr>
          <w:trHeight w:val="300"/>
        </w:trPr>
        <w:tc>
          <w:tcPr>
            <w:tcW w:w="10615" w:type="dxa"/>
            <w:gridSpan w:val="2"/>
            <w:shd w:val="clear" w:color="auto" w:fill="FFC000"/>
          </w:tcPr>
          <w:p w14:paraId="4B4C9CD5" w14:textId="7DCBB2A1" w:rsidR="201B7C6E" w:rsidRDefault="44455350" w:rsidP="328B30DD">
            <w:pPr>
              <w:rPr>
                <w:b/>
                <w:bCs/>
              </w:rPr>
            </w:pPr>
            <w:r w:rsidRPr="201B7C6E">
              <w:rPr>
                <w:b/>
                <w:bCs/>
              </w:rPr>
              <w:t>Session 1</w:t>
            </w:r>
            <w:r w:rsidR="00CB7C9A">
              <w:rPr>
                <w:b/>
                <w:bCs/>
              </w:rPr>
              <w:t xml:space="preserve"> Part 1</w:t>
            </w:r>
            <w:r w:rsidRPr="201B7C6E">
              <w:rPr>
                <w:b/>
                <w:bCs/>
              </w:rPr>
              <w:t>: Implementing Digital SETRs</w:t>
            </w:r>
          </w:p>
        </w:tc>
      </w:tr>
      <w:tr w:rsidR="00834C5D" w:rsidRPr="00D14C8C" w14:paraId="71BC37A8" w14:textId="77777777" w:rsidTr="3D2C5891">
        <w:trPr>
          <w:trHeight w:val="260"/>
        </w:trPr>
        <w:tc>
          <w:tcPr>
            <w:tcW w:w="10615" w:type="dxa"/>
            <w:gridSpan w:val="2"/>
            <w:shd w:val="clear" w:color="auto" w:fill="auto"/>
          </w:tcPr>
          <w:p w14:paraId="5E86BAE1" w14:textId="0C2FBBED" w:rsidR="00834C5D" w:rsidRPr="00B642A9" w:rsidRDefault="00437E4A" w:rsidP="328B30DD">
            <w:pPr>
              <w:rPr>
                <w:b/>
                <w:bCs/>
              </w:rPr>
            </w:pPr>
            <w:r w:rsidRPr="00437E4A">
              <w:t xml:space="preserve">For SETR </w:t>
            </w:r>
            <w:r w:rsidR="00883A65">
              <w:t>processes</w:t>
            </w:r>
            <w:r w:rsidRPr="00437E4A">
              <w:t xml:space="preserve"> in general, please use the space below to answer the following questions. If continuing your answers on a different page, please use the question number, e.g. </w:t>
            </w:r>
            <w:r>
              <w:t>1.c, to indicate what you are responding to.</w:t>
            </w:r>
          </w:p>
        </w:tc>
      </w:tr>
      <w:tr w:rsidR="00883A65" w:rsidRPr="00D14C8C" w14:paraId="443611ED" w14:textId="77777777" w:rsidTr="3D2C5891">
        <w:trPr>
          <w:trHeight w:val="260"/>
        </w:trPr>
        <w:tc>
          <w:tcPr>
            <w:tcW w:w="10615" w:type="dxa"/>
            <w:gridSpan w:val="2"/>
            <w:shd w:val="clear" w:color="auto" w:fill="auto"/>
          </w:tcPr>
          <w:p w14:paraId="7B59A535" w14:textId="77777777" w:rsidR="00883A65" w:rsidRPr="00B642A9" w:rsidRDefault="00883A65" w:rsidP="00883A65">
            <w:pPr>
              <w:rPr>
                <w:b/>
                <w:bCs/>
              </w:rPr>
            </w:pPr>
            <w:r w:rsidRPr="00B642A9">
              <w:rPr>
                <w:b/>
                <w:bCs/>
              </w:rPr>
              <w:t>Overall SETR Process</w:t>
            </w:r>
          </w:p>
          <w:p w14:paraId="3923E514" w14:textId="4DA29666" w:rsidR="00883A65" w:rsidRDefault="00883A65" w:rsidP="00883A65">
            <w:pPr>
              <w:numPr>
                <w:ilvl w:val="0"/>
                <w:numId w:val="4"/>
              </w:numPr>
              <w:tabs>
                <w:tab w:val="clear" w:pos="720"/>
              </w:tabs>
              <w:ind w:left="432"/>
            </w:pPr>
            <w:r>
              <w:t xml:space="preserve">What are the </w:t>
            </w:r>
            <w:r w:rsidR="47D9F234">
              <w:t>current</w:t>
            </w:r>
            <w:r w:rsidR="28CC245D">
              <w:t xml:space="preserve"> </w:t>
            </w:r>
            <w:r>
              <w:t>overall challenges to preparing, documenting, executing, and reviewing SETRs?</w:t>
            </w:r>
          </w:p>
          <w:p w14:paraId="2094AB0E" w14:textId="64DB0D26" w:rsidR="00F81C22" w:rsidRPr="00F81C22" w:rsidRDefault="00F94FF0" w:rsidP="00F81C22">
            <w:pPr>
              <w:ind w:left="432"/>
              <w:rPr>
                <w:color w:val="FF0000"/>
              </w:rPr>
            </w:pPr>
            <w:r>
              <w:rPr>
                <w:color w:val="FF0000"/>
              </w:rPr>
              <w:t>Very waterfall makes the process very slow. We have to freeze the work so no one makes a mistake in front of the colonel. Time is spent on preparing for the review than on the technical work – no ability to be continuous. Just snapshots in time – not consistent, could be delayed, always working in the past.</w:t>
            </w:r>
          </w:p>
          <w:p w14:paraId="31180FCD" w14:textId="77777777" w:rsidR="00883A65" w:rsidRDefault="00883A65" w:rsidP="00883A65">
            <w:pPr>
              <w:numPr>
                <w:ilvl w:val="0"/>
                <w:numId w:val="4"/>
              </w:numPr>
              <w:tabs>
                <w:tab w:val="clear" w:pos="720"/>
              </w:tabs>
              <w:ind w:left="432"/>
            </w:pPr>
            <w:r w:rsidRPr="00B642A9">
              <w:t>What approaches (digital or otherwise) have you found successful in accelerating the SETR process while increasing (or maintaining) the efficacy of the review?</w:t>
            </w:r>
          </w:p>
          <w:p w14:paraId="4D81BAF5" w14:textId="73B30CD8" w:rsidR="00F94FF0" w:rsidRPr="00F94FF0" w:rsidRDefault="00F94FF0" w:rsidP="00F94FF0">
            <w:pPr>
              <w:ind w:left="432"/>
              <w:rPr>
                <w:color w:val="FF0000"/>
              </w:rPr>
            </w:pPr>
            <w:r>
              <w:rPr>
                <w:color w:val="FF0000"/>
              </w:rPr>
              <w:t xml:space="preserve">Having as many artifacts in a model-based format as </w:t>
            </w:r>
            <w:r w:rsidR="00E90597">
              <w:rPr>
                <w:color w:val="FF0000"/>
              </w:rPr>
              <w:t>possible</w:t>
            </w:r>
            <w:r>
              <w:rPr>
                <w:color w:val="FF0000"/>
              </w:rPr>
              <w:t xml:space="preserve">. Requires having an </w:t>
            </w:r>
            <w:r w:rsidR="00E90597">
              <w:rPr>
                <w:color w:val="FF0000"/>
              </w:rPr>
              <w:t>environment</w:t>
            </w:r>
            <w:r>
              <w:rPr>
                <w:color w:val="FF0000"/>
              </w:rPr>
              <w:t xml:space="preserve"> set up in </w:t>
            </w:r>
            <w:r w:rsidR="00E90597">
              <w:rPr>
                <w:color w:val="FF0000"/>
              </w:rPr>
              <w:t>advance</w:t>
            </w:r>
            <w:r>
              <w:rPr>
                <w:color w:val="FF0000"/>
              </w:rPr>
              <w:t>. Helps to have review</w:t>
            </w:r>
            <w:r w:rsidR="003F7D3A">
              <w:rPr>
                <w:color w:val="FF0000"/>
              </w:rPr>
              <w:t>s to see the material before the review. Understanding requirements in advance with test cases. Incremental build-up to the review itself. Stakeholder vs system vs functional requirements should be clearly articulated.</w:t>
            </w:r>
          </w:p>
          <w:p w14:paraId="4F2992DD" w14:textId="77777777" w:rsidR="003F7D3A" w:rsidRDefault="00883A65" w:rsidP="003F7D3A">
            <w:pPr>
              <w:numPr>
                <w:ilvl w:val="0"/>
                <w:numId w:val="5"/>
              </w:numPr>
              <w:tabs>
                <w:tab w:val="clear" w:pos="720"/>
              </w:tabs>
              <w:ind w:left="432"/>
            </w:pPr>
            <w:r>
              <w:t>What digital tools, platforms, or methods have you used in your SETR processes? Have these been sufficient?  Expand on successes, failures or gaps.</w:t>
            </w:r>
          </w:p>
          <w:p w14:paraId="12B2066E" w14:textId="547F064E" w:rsidR="003F7D3A" w:rsidRPr="003F7D3A" w:rsidRDefault="003F7D3A" w:rsidP="003F7D3A">
            <w:pPr>
              <w:ind w:left="432"/>
              <w:rPr>
                <w:color w:val="FF0000"/>
              </w:rPr>
            </w:pPr>
            <w:r>
              <w:rPr>
                <w:color w:val="FF0000"/>
              </w:rPr>
              <w:t xml:space="preserve">Northrup Grumman’s Integrated Digital Environment works well for collaboration but needs use cases built up front. It’s not always the same for every program. We won’t ever think of everything in advance </w:t>
            </w:r>
            <w:r w:rsidR="00C3310D">
              <w:rPr>
                <w:color w:val="FF0000"/>
              </w:rPr>
              <w:t>so</w:t>
            </w:r>
            <w:r>
              <w:rPr>
                <w:color w:val="FF0000"/>
              </w:rPr>
              <w:t xml:space="preserve"> the tools must be a</w:t>
            </w:r>
            <w:r w:rsidR="00C3310D">
              <w:rPr>
                <w:color w:val="FF0000"/>
              </w:rPr>
              <w:t>daptabl</w:t>
            </w:r>
            <w:r>
              <w:rPr>
                <w:color w:val="FF0000"/>
              </w:rPr>
              <w:t xml:space="preserve">e quicky. Faster iteration in </w:t>
            </w:r>
            <w:r w:rsidR="00C3310D">
              <w:rPr>
                <w:color w:val="FF0000"/>
              </w:rPr>
              <w:t>a virtual</w:t>
            </w:r>
            <w:r>
              <w:rPr>
                <w:color w:val="FF0000"/>
              </w:rPr>
              <w:t xml:space="preserve"> environment works well </w:t>
            </w:r>
            <w:r w:rsidRPr="00C3310D">
              <w:rPr>
                <w:color w:val="FF0000"/>
                <w:u w:val="single"/>
              </w:rPr>
              <w:t>but</w:t>
            </w:r>
            <w:r>
              <w:rPr>
                <w:color w:val="FF0000"/>
              </w:rPr>
              <w:t xml:space="preserve"> we need to trust the model. </w:t>
            </w:r>
            <w:r w:rsidR="005C66AB">
              <w:rPr>
                <w:color w:val="FF0000"/>
              </w:rPr>
              <w:t>We need independent validation. Re-use is a benefit. ASOT and reference libraries are important. Customer contracted in story-points – this was good. Allowed for flexibility!</w:t>
            </w:r>
          </w:p>
          <w:p w14:paraId="0BB817F8" w14:textId="77777777" w:rsidR="0099255A" w:rsidRDefault="00883A65" w:rsidP="0099255A">
            <w:pPr>
              <w:numPr>
                <w:ilvl w:val="0"/>
                <w:numId w:val="5"/>
              </w:numPr>
              <w:tabs>
                <w:tab w:val="clear" w:pos="720"/>
              </w:tabs>
              <w:ind w:left="432"/>
            </w:pPr>
            <w:r w:rsidRPr="00B642A9">
              <w:t>What are the lessons learned from the approaches you've tried or participated in?</w:t>
            </w:r>
            <w:r w:rsidR="00C42655">
              <w:t xml:space="preserve"> </w:t>
            </w:r>
          </w:p>
          <w:p w14:paraId="2B112E01" w14:textId="1673B383" w:rsidR="0099255A" w:rsidRPr="0099255A" w:rsidRDefault="0099255A" w:rsidP="0099255A">
            <w:pPr>
              <w:ind w:left="432"/>
              <w:rPr>
                <w:color w:val="FF0000"/>
              </w:rPr>
            </w:pPr>
            <w:r>
              <w:rPr>
                <w:color w:val="FF0000"/>
              </w:rPr>
              <w:t xml:space="preserve">Having accessibility to the ASOT in a </w:t>
            </w:r>
            <w:proofErr w:type="spellStart"/>
            <w:r>
              <w:rPr>
                <w:color w:val="FF0000"/>
              </w:rPr>
              <w:t>devops</w:t>
            </w:r>
            <w:proofErr w:type="spellEnd"/>
            <w:r>
              <w:rPr>
                <w:color w:val="FF0000"/>
              </w:rPr>
              <w:t xml:space="preserve"> environment is important. Start w/ functional stakeholder needs but apply the mission. Language matters. To align language across teams develop style guide, get the teams together to wrestle through the language</w:t>
            </w:r>
          </w:p>
          <w:p w14:paraId="275A1978" w14:textId="19DE999F" w:rsidR="00883A65" w:rsidRDefault="7AF1F4A5" w:rsidP="0099255A">
            <w:pPr>
              <w:numPr>
                <w:ilvl w:val="0"/>
                <w:numId w:val="5"/>
              </w:numPr>
              <w:tabs>
                <w:tab w:val="clear" w:pos="720"/>
              </w:tabs>
              <w:ind w:left="432"/>
            </w:pPr>
            <w:r>
              <w:t xml:space="preserve">(optional) </w:t>
            </w:r>
            <w:r w:rsidR="281FB38D">
              <w:t>What</w:t>
            </w:r>
            <w:r w:rsidR="00883A65">
              <w:t xml:space="preserve"> specific cultural attributes need to change to successfully implement the approaches identified above? Are their risks or impediments, and how would you mitigate or overcome them?</w:t>
            </w:r>
          </w:p>
          <w:p w14:paraId="5BA44742" w14:textId="428A432E" w:rsidR="0099255A" w:rsidRPr="009F089C" w:rsidRDefault="009F089C" w:rsidP="00D816F9">
            <w:pPr>
              <w:ind w:left="432"/>
              <w:rPr>
                <w:color w:val="FF0000"/>
              </w:rPr>
            </w:pPr>
            <w:r>
              <w:rPr>
                <w:color w:val="FF0000"/>
              </w:rPr>
              <w:t>Training. Agile vs waterfall. Collaboration across functionals. Allowing technical teams to define the “how”</w:t>
            </w:r>
            <w:r w:rsidR="00F0275C">
              <w:rPr>
                <w:color w:val="FF0000"/>
              </w:rPr>
              <w:t xml:space="preserve"> and allow customers to define the “what”</w:t>
            </w:r>
            <w:r w:rsidR="0000153B">
              <w:rPr>
                <w:color w:val="FF0000"/>
              </w:rPr>
              <w:t xml:space="preserve"> – requires thinking about how we fund what we want and how we incentivize what we want. Be thoughtful about unintended consequences. Training at different levels – outcomes vs processes. Also consider legacy vs new start programs – they have different needs and have </w:t>
            </w:r>
            <w:proofErr w:type="spellStart"/>
            <w:r w:rsidR="0000153B">
              <w:rPr>
                <w:color w:val="FF0000"/>
              </w:rPr>
              <w:t>have</w:t>
            </w:r>
            <w:proofErr w:type="spellEnd"/>
            <w:r w:rsidR="0000153B">
              <w:rPr>
                <w:color w:val="FF0000"/>
              </w:rPr>
              <w:t xml:space="preserve"> different solutions. A risk averse position is today’s environment </w:t>
            </w:r>
            <w:r w:rsidR="00D816F9">
              <w:rPr>
                <w:color w:val="FF0000"/>
              </w:rPr>
              <w:t>is a very high risk position to be in! Consider the incentive structure top-down. Fail fast</w:t>
            </w:r>
            <w:r w:rsidR="007B7E72">
              <w:rPr>
                <w:color w:val="FF0000"/>
              </w:rPr>
              <w:t>. Consider: at AWS every program is treated like a new tech start-up, competing for attention, resources, etc. Drives a more-risk based mind-set…and drives speed.</w:t>
            </w:r>
            <w:r>
              <w:rPr>
                <w:color w:val="FF0000"/>
              </w:rPr>
              <w:t xml:space="preserve"> </w:t>
            </w:r>
          </w:p>
          <w:p w14:paraId="0E7399F1" w14:textId="30DBB2AE" w:rsidR="00883A65" w:rsidRPr="00437E4A" w:rsidRDefault="00883A65" w:rsidP="68C68383"/>
          <w:p w14:paraId="58859616" w14:textId="0F2DEB93" w:rsidR="00883A65" w:rsidRPr="00437E4A" w:rsidRDefault="00883A65" w:rsidP="7FF7CBC0"/>
          <w:p w14:paraId="5652B0F3" w14:textId="6877F020" w:rsidR="00883A65" w:rsidRPr="00437E4A" w:rsidRDefault="00883A65" w:rsidP="7FF7CBC0"/>
          <w:p w14:paraId="32C9E125" w14:textId="6DE9B7C9" w:rsidR="00883A65" w:rsidRPr="00437E4A" w:rsidRDefault="00883A65" w:rsidP="7FF7CBC0"/>
          <w:p w14:paraId="50737DF4" w14:textId="3F7882AE" w:rsidR="00883A65" w:rsidRPr="00437E4A" w:rsidRDefault="00883A65" w:rsidP="7FF7CBC0"/>
          <w:p w14:paraId="3ACDD038" w14:textId="41F1B17A" w:rsidR="00883A65" w:rsidRPr="00437E4A" w:rsidRDefault="00883A65" w:rsidP="7FF7CBC0"/>
          <w:p w14:paraId="28BCA921" w14:textId="2D3D9C72" w:rsidR="00883A65" w:rsidRPr="00437E4A" w:rsidRDefault="00883A65" w:rsidP="7FF7CBC0"/>
          <w:p w14:paraId="3BA626BF" w14:textId="0FA06587" w:rsidR="00883A65" w:rsidRPr="00437E4A" w:rsidRDefault="00883A65" w:rsidP="7FF7CBC0"/>
          <w:p w14:paraId="3B3EDE28" w14:textId="5E670E09" w:rsidR="00883A65" w:rsidRPr="00437E4A" w:rsidRDefault="00883A65" w:rsidP="7FF7CBC0"/>
          <w:p w14:paraId="46EA5308" w14:textId="0AF8AFC2" w:rsidR="00883A65" w:rsidRPr="00437E4A" w:rsidRDefault="00883A65" w:rsidP="7FF7CBC0"/>
          <w:p w14:paraId="12DD05D9" w14:textId="6610479A" w:rsidR="00883A65" w:rsidRPr="00437E4A" w:rsidRDefault="00883A65" w:rsidP="007B7E72"/>
        </w:tc>
      </w:tr>
      <w:tr w:rsidR="00B642A9" w:rsidRPr="00D14C8C" w14:paraId="42BC3E3E" w14:textId="77777777" w:rsidTr="3D2C5891">
        <w:trPr>
          <w:trHeight w:val="422"/>
        </w:trPr>
        <w:tc>
          <w:tcPr>
            <w:tcW w:w="10615" w:type="dxa"/>
            <w:gridSpan w:val="2"/>
            <w:shd w:val="clear" w:color="auto" w:fill="FFC000"/>
          </w:tcPr>
          <w:p w14:paraId="6C097AE3" w14:textId="43F199B9" w:rsidR="00B642A9" w:rsidRDefault="00B642A9" w:rsidP="003F5F08">
            <w:pPr>
              <w:rPr>
                <w:b/>
                <w:bCs/>
              </w:rPr>
            </w:pPr>
            <w:r>
              <w:rPr>
                <w:b/>
                <w:bCs/>
              </w:rPr>
              <w:lastRenderedPageBreak/>
              <w:t>Session</w:t>
            </w:r>
            <w:r w:rsidRPr="00D14C8C">
              <w:rPr>
                <w:b/>
                <w:bCs/>
              </w:rPr>
              <w:t xml:space="preserve"> 1</w:t>
            </w:r>
            <w:r w:rsidR="00CB7C9A">
              <w:rPr>
                <w:b/>
                <w:bCs/>
              </w:rPr>
              <w:t xml:space="preserve"> Part 2</w:t>
            </w:r>
            <w:r w:rsidRPr="00D14C8C">
              <w:rPr>
                <w:b/>
                <w:bCs/>
              </w:rPr>
              <w:t xml:space="preserve">: </w:t>
            </w:r>
            <w:r w:rsidR="00FA4674">
              <w:rPr>
                <w:b/>
                <w:bCs/>
              </w:rPr>
              <w:t xml:space="preserve">Implementing Digital </w:t>
            </w:r>
            <w:r w:rsidRPr="00D14C8C">
              <w:rPr>
                <w:b/>
                <w:bCs/>
              </w:rPr>
              <w:t>SETR</w:t>
            </w:r>
            <w:r w:rsidR="00FA4674">
              <w:rPr>
                <w:b/>
                <w:bCs/>
              </w:rPr>
              <w:t>s</w:t>
            </w:r>
          </w:p>
        </w:tc>
      </w:tr>
      <w:tr w:rsidR="00B642A9" w14:paraId="4B42519C" w14:textId="77777777" w:rsidTr="3D2C5891">
        <w:trPr>
          <w:trHeight w:val="845"/>
        </w:trPr>
        <w:tc>
          <w:tcPr>
            <w:tcW w:w="10615" w:type="dxa"/>
            <w:gridSpan w:val="2"/>
          </w:tcPr>
          <w:p w14:paraId="605580FD" w14:textId="6C6FA279" w:rsidR="685122E1" w:rsidRDefault="685122E1" w:rsidP="00FA4674">
            <w:r>
              <w:t xml:space="preserve">For your </w:t>
            </w:r>
            <w:r w:rsidR="002C7DF6">
              <w:t>designated</w:t>
            </w:r>
            <w:r>
              <w:t xml:space="preserve"> SETR event</w:t>
            </w:r>
            <w:r w:rsidR="002C7DF6">
              <w:t>,</w:t>
            </w:r>
            <w:r>
              <w:t xml:space="preserve"> please use the space below to answer the following questions. If </w:t>
            </w:r>
            <w:r w:rsidR="1D9DF2C4">
              <w:t>continuing</w:t>
            </w:r>
            <w:r>
              <w:t xml:space="preserve"> </w:t>
            </w:r>
            <w:r w:rsidR="1D9DF2C4">
              <w:t xml:space="preserve">your answers on </w:t>
            </w:r>
            <w:r>
              <w:t>a different page, please use the question number, e.g. 1.c, to indicate what you are responding to.</w:t>
            </w:r>
          </w:p>
        </w:tc>
      </w:tr>
      <w:tr w:rsidR="005C7690" w14:paraId="18696BCE" w14:textId="77777777" w:rsidTr="007446F8">
        <w:trPr>
          <w:trHeight w:val="47"/>
        </w:trPr>
        <w:tc>
          <w:tcPr>
            <w:tcW w:w="10615" w:type="dxa"/>
            <w:gridSpan w:val="2"/>
            <w:shd w:val="clear" w:color="auto" w:fill="FFC000"/>
          </w:tcPr>
          <w:p w14:paraId="3D44EDF4" w14:textId="5029DB2C" w:rsidR="005C7690" w:rsidRDefault="005C7690" w:rsidP="00FA4674">
            <w:pPr>
              <w:rPr>
                <w:b/>
                <w:bCs/>
              </w:rPr>
            </w:pPr>
            <w:r>
              <w:rPr>
                <w:b/>
                <w:bCs/>
              </w:rPr>
              <w:t xml:space="preserve">Circle your table’s designated SETR </w:t>
            </w:r>
            <w:r w:rsidR="550CD764" w:rsidRPr="250AA360">
              <w:rPr>
                <w:b/>
                <w:bCs/>
              </w:rPr>
              <w:t>Event</w:t>
            </w:r>
          </w:p>
        </w:tc>
      </w:tr>
      <w:tr w:rsidR="005C7690" w14:paraId="58EDFAEE" w14:textId="77777777" w:rsidTr="007446F8">
        <w:trPr>
          <w:trHeight w:val="47"/>
        </w:trPr>
        <w:tc>
          <w:tcPr>
            <w:tcW w:w="4405" w:type="dxa"/>
          </w:tcPr>
          <w:p w14:paraId="08640980" w14:textId="77777777" w:rsidR="005C7690" w:rsidRDefault="005C7690" w:rsidP="328B30DD">
            <w:pPr>
              <w:spacing w:before="120"/>
            </w:pPr>
            <w:r>
              <w:t>1.  Systems Requirements Review (SRR)</w:t>
            </w:r>
          </w:p>
          <w:p w14:paraId="00CD25B5" w14:textId="77777777" w:rsidR="005C7690" w:rsidRDefault="005C7690" w:rsidP="328B30DD">
            <w:pPr>
              <w:spacing w:before="120"/>
            </w:pPr>
            <w:r>
              <w:t>2.  Systems Functional Review (SFR)</w:t>
            </w:r>
          </w:p>
          <w:p w14:paraId="592C38B1" w14:textId="77777777" w:rsidR="005C7690" w:rsidRDefault="005C7690" w:rsidP="328B30DD">
            <w:pPr>
              <w:spacing w:before="120"/>
            </w:pPr>
            <w:r>
              <w:t>3.  Preliminary Design Review (PDR)</w:t>
            </w:r>
          </w:p>
          <w:p w14:paraId="46838451" w14:textId="1087B107" w:rsidR="005C7690" w:rsidRDefault="005C7690" w:rsidP="328B30DD">
            <w:pPr>
              <w:spacing w:before="120"/>
              <w:rPr>
                <w:b/>
                <w:bCs/>
              </w:rPr>
            </w:pPr>
            <w:r>
              <w:t xml:space="preserve">4.  </w:t>
            </w:r>
            <w:r w:rsidRPr="007B7E72">
              <w:rPr>
                <w:highlight w:val="yellow"/>
              </w:rPr>
              <w:t>Critical Design Review (CDR)</w:t>
            </w:r>
          </w:p>
        </w:tc>
        <w:tc>
          <w:tcPr>
            <w:tcW w:w="6210" w:type="dxa"/>
          </w:tcPr>
          <w:p w14:paraId="4A3078D8" w14:textId="77777777" w:rsidR="005C7690" w:rsidRDefault="005C7690" w:rsidP="328B30DD">
            <w:pPr>
              <w:spacing w:before="120"/>
            </w:pPr>
            <w:r>
              <w:t xml:space="preserve">5.  Test Readiness Review (TRR) </w:t>
            </w:r>
          </w:p>
          <w:p w14:paraId="4098D21B" w14:textId="77777777" w:rsidR="005C7690" w:rsidRDefault="005C7690" w:rsidP="328B30DD">
            <w:pPr>
              <w:spacing w:before="120"/>
            </w:pPr>
            <w:r>
              <w:t xml:space="preserve">6.  System Verification Review/Functional Configuration Audit </w:t>
            </w:r>
          </w:p>
          <w:p w14:paraId="41C13544" w14:textId="77777777" w:rsidR="005C7690" w:rsidRDefault="005C7690" w:rsidP="328B30DD">
            <w:pPr>
              <w:spacing w:before="120"/>
            </w:pPr>
            <w:r>
              <w:t xml:space="preserve">7.  Production Readiness Review (PRR) </w:t>
            </w:r>
          </w:p>
          <w:p w14:paraId="0DDC5678" w14:textId="2C255B47" w:rsidR="005C7690" w:rsidRDefault="005C7690" w:rsidP="328B30DD">
            <w:pPr>
              <w:spacing w:before="120"/>
              <w:rPr>
                <w:b/>
                <w:bCs/>
              </w:rPr>
            </w:pPr>
            <w:r>
              <w:t>8.  Physical Configuration Audit (PCA)</w:t>
            </w:r>
          </w:p>
        </w:tc>
      </w:tr>
      <w:tr w:rsidR="005C7690" w14:paraId="49F755DE" w14:textId="77777777" w:rsidTr="3D2C5891">
        <w:trPr>
          <w:trHeight w:val="2618"/>
        </w:trPr>
        <w:tc>
          <w:tcPr>
            <w:tcW w:w="10615" w:type="dxa"/>
            <w:gridSpan w:val="2"/>
          </w:tcPr>
          <w:p w14:paraId="673E055E" w14:textId="77777777" w:rsidR="005C7690" w:rsidRPr="00FA4674" w:rsidRDefault="005C7690" w:rsidP="005C7690">
            <w:pPr>
              <w:rPr>
                <w:b/>
                <w:bCs/>
              </w:rPr>
            </w:pPr>
            <w:r w:rsidRPr="2094B522">
              <w:rPr>
                <w:b/>
                <w:bCs/>
              </w:rPr>
              <w:t>Specific Digital SETR Gate Criteria (as specified by your table marker)</w:t>
            </w:r>
          </w:p>
          <w:p w14:paraId="5160D2AB" w14:textId="77777777" w:rsidR="005C7690" w:rsidRPr="00F22E41" w:rsidRDefault="005C7690" w:rsidP="005C7690">
            <w:r>
              <w:t>For the Digital Engineering criteria proposed for your selected SETR event in the provided “Digital SETR Gate Criteria” document,</w:t>
            </w:r>
          </w:p>
          <w:p w14:paraId="0A7EDD11" w14:textId="77777777" w:rsidR="005C7690" w:rsidRDefault="005C7690" w:rsidP="005C7690">
            <w:pPr>
              <w:numPr>
                <w:ilvl w:val="0"/>
                <w:numId w:val="8"/>
              </w:numPr>
              <w:ind w:left="432"/>
            </w:pPr>
            <w:r>
              <w:t>Do the listed digital engineering criteria make sense for your selected SETR event?</w:t>
            </w:r>
          </w:p>
          <w:p w14:paraId="3FF37AB7" w14:textId="77777777" w:rsidR="005C7690" w:rsidRDefault="005C7690" w:rsidP="005C7690">
            <w:pPr>
              <w:numPr>
                <w:ilvl w:val="0"/>
                <w:numId w:val="8"/>
              </w:numPr>
              <w:ind w:left="432"/>
            </w:pPr>
            <w:r>
              <w:t xml:space="preserve">Are there any criteria you would add, change, or remove?  (Annotate the Gate Criteria doc if helpful) </w:t>
            </w:r>
          </w:p>
          <w:p w14:paraId="7AB79864" w14:textId="2EAAE611" w:rsidR="005C7690" w:rsidRPr="00F22E41" w:rsidRDefault="005C7690" w:rsidP="005C7690">
            <w:pPr>
              <w:numPr>
                <w:ilvl w:val="0"/>
                <w:numId w:val="8"/>
              </w:numPr>
              <w:ind w:left="432"/>
            </w:pPr>
            <w:r>
              <w:t xml:space="preserve">Do the listed criteria represent a reasonable digital maturity for the SETR event? </w:t>
            </w:r>
          </w:p>
          <w:p w14:paraId="6CC47F36" w14:textId="377E6B5C" w:rsidR="005C7690" w:rsidRPr="007B7E72" w:rsidRDefault="007B7E72" w:rsidP="005C7690">
            <w:pPr>
              <w:rPr>
                <w:color w:val="FF0000"/>
              </w:rPr>
            </w:pPr>
            <w:r>
              <w:rPr>
                <w:color w:val="FF0000"/>
              </w:rPr>
              <w:t xml:space="preserve">There’s nothing here that talks to trust in the model, which we need. Different tiers of requirements (stakeholder, functional, system) would be helpful for traceability.) Data traceability can be lost without a digital </w:t>
            </w:r>
            <w:r w:rsidR="00A535BB">
              <w:rPr>
                <w:color w:val="FF0000"/>
              </w:rPr>
              <w:t>thread</w:t>
            </w:r>
            <w:r>
              <w:rPr>
                <w:color w:val="FF0000"/>
              </w:rPr>
              <w:t xml:space="preserve">. We must define accessibility. We need a workflow process. We need a data model/strategy. How can we connect to the data? Data governance is important. Must define your measures of success/metrics that are </w:t>
            </w:r>
            <w:r w:rsidR="00C7348C">
              <w:rPr>
                <w:color w:val="FF0000"/>
              </w:rPr>
              <w:t>quantifiable,</w:t>
            </w:r>
            <w:r>
              <w:rPr>
                <w:color w:val="FF0000"/>
              </w:rPr>
              <w:t xml:space="preserve"> so we are working with the right level of technical </w:t>
            </w:r>
            <w:proofErr w:type="spellStart"/>
            <w:r>
              <w:rPr>
                <w:color w:val="FF0000"/>
              </w:rPr>
              <w:t>devt</w:t>
            </w:r>
            <w:proofErr w:type="spellEnd"/>
            <w:r>
              <w:rPr>
                <w:color w:val="FF0000"/>
              </w:rPr>
              <w:t>.</w:t>
            </w:r>
            <w:r w:rsidR="00A535BB">
              <w:rPr>
                <w:color w:val="FF0000"/>
              </w:rPr>
              <w:t xml:space="preserve"> We don’t want to over-engineer a solution for a program that doesn’t need it. (“don’t gold-plate it”). Consider adding a risk register – CDRs are really about assessing and allocating risk.</w:t>
            </w:r>
          </w:p>
          <w:p w14:paraId="24FF5218" w14:textId="7D64B847" w:rsidR="005C7690" w:rsidRPr="00B642A9" w:rsidRDefault="005C7690" w:rsidP="005C7690">
            <w:pPr>
              <w:rPr>
                <w:b/>
                <w:bCs/>
              </w:rPr>
            </w:pPr>
          </w:p>
          <w:p w14:paraId="1B40EAA0" w14:textId="07E9D969" w:rsidR="005C7690" w:rsidRPr="00B642A9" w:rsidRDefault="005C7690" w:rsidP="005C7690">
            <w:pPr>
              <w:rPr>
                <w:b/>
                <w:bCs/>
              </w:rPr>
            </w:pPr>
          </w:p>
          <w:p w14:paraId="7F6713ED" w14:textId="57F82C05" w:rsidR="005C7690" w:rsidRDefault="009F087F" w:rsidP="005C7690">
            <w:pPr>
              <w:rPr>
                <w:b/>
                <w:bCs/>
              </w:rPr>
            </w:pPr>
            <w:r>
              <w:rPr>
                <w:b/>
                <w:bCs/>
              </w:rPr>
              <w:t>CDR Example Language (with our table’s edits included):</w:t>
            </w:r>
          </w:p>
          <w:p w14:paraId="1148A989" w14:textId="290DAD75" w:rsidR="009F087F" w:rsidRPr="0081464E" w:rsidRDefault="009F087F" w:rsidP="009F087F">
            <w:pPr>
              <w:pStyle w:val="ListParagraph"/>
              <w:numPr>
                <w:ilvl w:val="0"/>
                <w:numId w:val="10"/>
              </w:numPr>
              <w:rPr>
                <w:color w:val="FF0000"/>
              </w:rPr>
            </w:pPr>
            <w:r w:rsidRPr="0081464E">
              <w:t xml:space="preserve">Program data is </w:t>
            </w:r>
            <w:r w:rsidRPr="0081464E">
              <w:rPr>
                <w:color w:val="FF0000"/>
              </w:rPr>
              <w:t xml:space="preserve">continuously </w:t>
            </w:r>
            <w:r w:rsidRPr="0081464E">
              <w:t>accessible to stakehold</w:t>
            </w:r>
            <w:r w:rsidR="00202123" w:rsidRPr="0081464E">
              <w:t xml:space="preserve">ers through the digital engineering ecosystem, </w:t>
            </w:r>
            <w:r w:rsidR="00202123" w:rsidRPr="0081464E">
              <w:rPr>
                <w:color w:val="FF0000"/>
              </w:rPr>
              <w:t>with workflow defined on how this is implemented.</w:t>
            </w:r>
          </w:p>
          <w:p w14:paraId="5DF1DE7A" w14:textId="375ACA42" w:rsidR="00202123" w:rsidRPr="0081464E" w:rsidRDefault="00202123" w:rsidP="009F087F">
            <w:pPr>
              <w:pStyle w:val="ListParagraph"/>
              <w:numPr>
                <w:ilvl w:val="0"/>
                <w:numId w:val="10"/>
              </w:numPr>
            </w:pPr>
            <w:r w:rsidRPr="0081464E">
              <w:t>The digital thread is developed in accordance with the SEMP</w:t>
            </w:r>
            <w:r w:rsidRPr="0081464E">
              <w:rPr>
                <w:color w:val="FF0000"/>
              </w:rPr>
              <w:t>*</w:t>
            </w:r>
            <w:r w:rsidRPr="0081464E">
              <w:t>.</w:t>
            </w:r>
          </w:p>
          <w:p w14:paraId="033B4562" w14:textId="6E5F982E" w:rsidR="00202123" w:rsidRPr="0081464E" w:rsidRDefault="00202123" w:rsidP="009F087F">
            <w:pPr>
              <w:pStyle w:val="ListParagraph"/>
              <w:numPr>
                <w:ilvl w:val="0"/>
                <w:numId w:val="10"/>
              </w:numPr>
            </w:pPr>
            <w:r w:rsidRPr="0081464E">
              <w:rPr>
                <w:color w:val="FF0000"/>
              </w:rPr>
              <w:t>MBE</w:t>
            </w:r>
            <w:r w:rsidR="0081464E">
              <w:rPr>
                <w:color w:val="FF0000"/>
              </w:rPr>
              <w:t>**</w:t>
            </w:r>
            <w:r w:rsidRPr="0081464E">
              <w:rPr>
                <w:color w:val="FF0000"/>
              </w:rPr>
              <w:t xml:space="preserve"> </w:t>
            </w:r>
            <w:r w:rsidRPr="0081464E">
              <w:t>model contains the comp</w:t>
            </w:r>
            <w:r w:rsidR="00516304" w:rsidRPr="0081464E">
              <w:t>onent verification methods and requirements.</w:t>
            </w:r>
          </w:p>
          <w:p w14:paraId="7E021E73" w14:textId="0979AF7B" w:rsidR="00516304" w:rsidRPr="0081464E" w:rsidRDefault="00516304" w:rsidP="009F087F">
            <w:pPr>
              <w:pStyle w:val="ListParagraph"/>
              <w:numPr>
                <w:ilvl w:val="0"/>
                <w:numId w:val="10"/>
              </w:numPr>
            </w:pPr>
            <w:r w:rsidRPr="0081464E">
              <w:rPr>
                <w:color w:val="FF0000"/>
              </w:rPr>
              <w:t>MBE</w:t>
            </w:r>
            <w:r w:rsidR="0081464E">
              <w:rPr>
                <w:color w:val="FF0000"/>
              </w:rPr>
              <w:t>**</w:t>
            </w:r>
            <w:r w:rsidRPr="0081464E">
              <w:rPr>
                <w:color w:val="FF0000"/>
              </w:rPr>
              <w:t xml:space="preserve"> </w:t>
            </w:r>
            <w:r w:rsidRPr="0081464E">
              <w:t>model includes the system’s components.</w:t>
            </w:r>
          </w:p>
          <w:p w14:paraId="4C84AB43" w14:textId="515620CF" w:rsidR="00516304" w:rsidRPr="0081464E" w:rsidRDefault="00516304" w:rsidP="009F087F">
            <w:pPr>
              <w:pStyle w:val="ListParagraph"/>
              <w:numPr>
                <w:ilvl w:val="0"/>
                <w:numId w:val="10"/>
              </w:numPr>
            </w:pPr>
            <w:r w:rsidRPr="0081464E">
              <w:rPr>
                <w:color w:val="FF0000"/>
              </w:rPr>
              <w:t>MBE</w:t>
            </w:r>
            <w:r w:rsidR="0081464E">
              <w:rPr>
                <w:color w:val="FF0000"/>
              </w:rPr>
              <w:t>**</w:t>
            </w:r>
            <w:r w:rsidRPr="0081464E">
              <w:rPr>
                <w:color w:val="FF0000"/>
              </w:rPr>
              <w:t xml:space="preserve"> </w:t>
            </w:r>
            <w:r w:rsidRPr="0081464E">
              <w:t xml:space="preserve">model includes the functional </w:t>
            </w:r>
            <w:r w:rsidR="0081464E" w:rsidRPr="0081464E">
              <w:t>and performance requirements of the system’s components traceable to the system requirements.</w:t>
            </w:r>
          </w:p>
          <w:p w14:paraId="0D295634" w14:textId="03C324E9" w:rsidR="0081464E" w:rsidRPr="0081464E" w:rsidRDefault="0081464E" w:rsidP="009F087F">
            <w:pPr>
              <w:pStyle w:val="ListParagraph"/>
              <w:numPr>
                <w:ilvl w:val="0"/>
                <w:numId w:val="10"/>
              </w:numPr>
              <w:rPr>
                <w:color w:val="FF0000"/>
              </w:rPr>
            </w:pPr>
            <w:r w:rsidRPr="0081464E">
              <w:rPr>
                <w:color w:val="FF0000"/>
              </w:rPr>
              <w:t>Establish/document a data strategy</w:t>
            </w:r>
          </w:p>
          <w:p w14:paraId="6D8EED16" w14:textId="77777777" w:rsidR="0081464E" w:rsidRPr="0081464E" w:rsidRDefault="0081464E" w:rsidP="0081464E"/>
          <w:p w14:paraId="7A6B6146" w14:textId="5CB31C4C" w:rsidR="0081464E" w:rsidRPr="0081464E" w:rsidRDefault="0081464E" w:rsidP="0081464E">
            <w:pPr>
              <w:rPr>
                <w:color w:val="FF0000"/>
              </w:rPr>
            </w:pPr>
            <w:r w:rsidRPr="0081464E">
              <w:rPr>
                <w:color w:val="FF0000"/>
              </w:rPr>
              <w:t>*establish your security compliant ASOT strategy so you don’t have multiple ASOTs at different security levels</w:t>
            </w:r>
          </w:p>
          <w:p w14:paraId="74EB168A" w14:textId="6765AC73" w:rsidR="0081464E" w:rsidRPr="0081464E" w:rsidRDefault="0081464E" w:rsidP="0081464E">
            <w:pPr>
              <w:rPr>
                <w:color w:val="FF0000"/>
              </w:rPr>
            </w:pPr>
            <w:r w:rsidRPr="0081464E">
              <w:rPr>
                <w:color w:val="FF0000"/>
              </w:rPr>
              <w:t>**MBE vs MBSE because its more than just a ‘systems engineering’ model</w:t>
            </w:r>
          </w:p>
          <w:p w14:paraId="5F972B8E" w14:textId="77777777" w:rsidR="009F087F" w:rsidRPr="00B642A9" w:rsidRDefault="009F087F" w:rsidP="005C7690">
            <w:pPr>
              <w:rPr>
                <w:b/>
                <w:bCs/>
              </w:rPr>
            </w:pPr>
          </w:p>
          <w:p w14:paraId="0E7E930C" w14:textId="0665F5F9" w:rsidR="005C7690" w:rsidRPr="00B642A9" w:rsidRDefault="005C7690" w:rsidP="005C7690">
            <w:pPr>
              <w:rPr>
                <w:b/>
                <w:bCs/>
              </w:rPr>
            </w:pPr>
          </w:p>
          <w:p w14:paraId="27C55BD7" w14:textId="2A930A67" w:rsidR="005C7690" w:rsidRDefault="005C7690" w:rsidP="005C7690">
            <w:pPr>
              <w:rPr>
                <w:b/>
                <w:bCs/>
              </w:rPr>
            </w:pPr>
          </w:p>
          <w:p w14:paraId="69289280" w14:textId="77777777" w:rsidR="0081464E" w:rsidRDefault="0081464E" w:rsidP="005C7690">
            <w:pPr>
              <w:rPr>
                <w:b/>
                <w:bCs/>
              </w:rPr>
            </w:pPr>
          </w:p>
          <w:p w14:paraId="21FB2A4C" w14:textId="77777777" w:rsidR="0081464E" w:rsidRDefault="0081464E" w:rsidP="005C7690">
            <w:pPr>
              <w:rPr>
                <w:b/>
                <w:bCs/>
              </w:rPr>
            </w:pPr>
          </w:p>
          <w:p w14:paraId="7F0004DD" w14:textId="77777777" w:rsidR="0081464E" w:rsidRPr="00B642A9" w:rsidRDefault="0081464E" w:rsidP="005C7690">
            <w:pPr>
              <w:rPr>
                <w:b/>
                <w:bCs/>
              </w:rPr>
            </w:pPr>
          </w:p>
          <w:p w14:paraId="55C0367E" w14:textId="342FCBC9" w:rsidR="003B6F94" w:rsidRPr="2094B522" w:rsidRDefault="003B6F94" w:rsidP="0081464E">
            <w:pPr>
              <w:rPr>
                <w:b/>
                <w:bCs/>
              </w:rPr>
            </w:pPr>
          </w:p>
        </w:tc>
      </w:tr>
    </w:tbl>
    <w:p w14:paraId="56A53C45" w14:textId="69C6F970" w:rsidR="328B30DD" w:rsidRDefault="328B30DD" w:rsidP="328B30DD"/>
    <w:tbl>
      <w:tblPr>
        <w:tblStyle w:val="TableGrid"/>
        <w:tblW w:w="0" w:type="auto"/>
        <w:tblLook w:val="04A0" w:firstRow="1" w:lastRow="0" w:firstColumn="1" w:lastColumn="0" w:noHBand="0" w:noVBand="1"/>
      </w:tblPr>
      <w:tblGrid>
        <w:gridCol w:w="10615"/>
      </w:tblGrid>
      <w:tr w:rsidR="3D2C5891" w14:paraId="54D3C092" w14:textId="77777777" w:rsidTr="3D2C5891">
        <w:trPr>
          <w:trHeight w:val="300"/>
        </w:trPr>
        <w:tc>
          <w:tcPr>
            <w:tcW w:w="10615" w:type="dxa"/>
            <w:shd w:val="clear" w:color="auto" w:fill="FFFFFF" w:themeFill="background1"/>
          </w:tcPr>
          <w:p w14:paraId="03BABC2A" w14:textId="50AB31B5" w:rsidR="469F76D0" w:rsidRDefault="469F76D0" w:rsidP="3D2C5891">
            <w:pPr>
              <w:rPr>
                <w:b/>
                <w:bCs/>
              </w:rPr>
            </w:pPr>
            <w:r w:rsidRPr="3D2C5891">
              <w:rPr>
                <w:b/>
                <w:bCs/>
              </w:rPr>
              <w:lastRenderedPageBreak/>
              <w:t xml:space="preserve">Table Number:      </w:t>
            </w:r>
            <w:r w:rsidR="003B6F94">
              <w:rPr>
                <w:b/>
                <w:bCs/>
              </w:rPr>
              <w:t>CDR</w:t>
            </w:r>
            <w:r w:rsidRPr="3D2C5891">
              <w:rPr>
                <w:b/>
                <w:bCs/>
              </w:rPr>
              <w:t xml:space="preserve">                                                   Facilitator Name:</w:t>
            </w:r>
            <w:r w:rsidR="003B6F94">
              <w:rPr>
                <w:b/>
                <w:bCs/>
              </w:rPr>
              <w:t xml:space="preserve"> Hoelscher</w:t>
            </w:r>
          </w:p>
        </w:tc>
      </w:tr>
      <w:tr w:rsidR="328B30DD" w14:paraId="7CF33BBF" w14:textId="77777777" w:rsidTr="3D2C5891">
        <w:trPr>
          <w:trHeight w:val="300"/>
        </w:trPr>
        <w:tc>
          <w:tcPr>
            <w:tcW w:w="10615" w:type="dxa"/>
            <w:shd w:val="clear" w:color="auto" w:fill="FFC000"/>
          </w:tcPr>
          <w:p w14:paraId="05891D9D" w14:textId="06AA6357" w:rsidR="328B30DD" w:rsidRDefault="328B30DD" w:rsidP="328B30DD">
            <w:pPr>
              <w:rPr>
                <w:b/>
                <w:bCs/>
              </w:rPr>
            </w:pPr>
            <w:r w:rsidRPr="328B30DD">
              <w:rPr>
                <w:b/>
                <w:bCs/>
              </w:rPr>
              <w:t>Session 2:  Future State of Technical Reviews</w:t>
            </w:r>
          </w:p>
        </w:tc>
      </w:tr>
      <w:tr w:rsidR="328B30DD" w14:paraId="412F5A94" w14:textId="77777777" w:rsidTr="3D2C5891">
        <w:trPr>
          <w:trHeight w:val="300"/>
        </w:trPr>
        <w:tc>
          <w:tcPr>
            <w:tcW w:w="10615" w:type="dxa"/>
          </w:tcPr>
          <w:p w14:paraId="4F74E965" w14:textId="358C4363" w:rsidR="328B30DD" w:rsidRDefault="328B30DD">
            <w:r>
              <w:t xml:space="preserve">Under the premise that we are now in 2045 where DMM has been actualized, what would the process of  technical reviews be? </w:t>
            </w:r>
          </w:p>
          <w:p w14:paraId="59D2303C" w14:textId="6C1BECA4" w:rsidR="328B30DD" w:rsidRDefault="328B30DD"/>
          <w:p w14:paraId="39D6197C" w14:textId="62396905" w:rsidR="328B30DD" w:rsidRDefault="328B30DD" w:rsidP="328B30DD">
            <w:pPr>
              <w:rPr>
                <w:rFonts w:eastAsiaTheme="minorEastAsia"/>
              </w:rPr>
            </w:pPr>
            <w:r w:rsidRPr="328B30DD">
              <w:rPr>
                <w:rFonts w:eastAsiaTheme="minorEastAsia"/>
              </w:rPr>
              <w:t>1. How would you change / eliminate / redesign the technical reviews in this new world?</w:t>
            </w:r>
          </w:p>
          <w:p w14:paraId="43D2EF6E" w14:textId="33AAD8F8" w:rsidR="328B30DD" w:rsidRDefault="328B30DD" w:rsidP="328B30DD">
            <w:pPr>
              <w:rPr>
                <w:rFonts w:eastAsiaTheme="minorEastAsia"/>
              </w:rPr>
            </w:pPr>
            <w:r w:rsidRPr="328B30DD">
              <w:rPr>
                <w:rFonts w:eastAsiaTheme="minorEastAsia"/>
              </w:rPr>
              <w:t>2. Map out the new technical reviews process to make it a reality</w:t>
            </w:r>
          </w:p>
          <w:p w14:paraId="64CCD4C6" w14:textId="46E8D609" w:rsidR="328B30DD" w:rsidRDefault="328B30DD" w:rsidP="328B30DD">
            <w:pPr>
              <w:rPr>
                <w:rFonts w:eastAsiaTheme="minorEastAsia"/>
              </w:rPr>
            </w:pPr>
          </w:p>
          <w:p w14:paraId="71F92D7F" w14:textId="523FA2D3" w:rsidR="328B30DD" w:rsidRDefault="00E7641F" w:rsidP="328B30DD">
            <w:pPr>
              <w:rPr>
                <w:rFonts w:eastAsiaTheme="minorEastAsia"/>
                <w:color w:val="FF0000"/>
              </w:rPr>
            </w:pPr>
            <w:r>
              <w:rPr>
                <w:rFonts w:eastAsiaTheme="minorEastAsia"/>
                <w:color w:val="FF0000"/>
              </w:rPr>
              <w:t xml:space="preserve">We would do it in a continuous way leveraging </w:t>
            </w:r>
            <w:proofErr w:type="spellStart"/>
            <w:r>
              <w:rPr>
                <w:rFonts w:eastAsiaTheme="minorEastAsia"/>
                <w:color w:val="FF0000"/>
              </w:rPr>
              <w:t>devops</w:t>
            </w:r>
            <w:proofErr w:type="spellEnd"/>
            <w:r>
              <w:rPr>
                <w:rFonts w:eastAsiaTheme="minorEastAsia"/>
                <w:color w:val="FF0000"/>
              </w:rPr>
              <w:t xml:space="preserve"> approaches with milestone reviews at specific events. Getting all stakeholders engaged. Adapting </w:t>
            </w:r>
            <w:proofErr w:type="spellStart"/>
            <w:r>
              <w:rPr>
                <w:rFonts w:eastAsiaTheme="minorEastAsia"/>
                <w:color w:val="FF0000"/>
              </w:rPr>
              <w:t>devops</w:t>
            </w:r>
            <w:proofErr w:type="spellEnd"/>
            <w:r>
              <w:rPr>
                <w:rFonts w:eastAsiaTheme="minorEastAsia"/>
                <w:color w:val="FF0000"/>
              </w:rPr>
              <w:t xml:space="preserve"> best practices is pivotal. Programmatic slides maybe, but all tech work is shown in live demos. </w:t>
            </w:r>
          </w:p>
          <w:p w14:paraId="2D083B1B" w14:textId="77777777" w:rsidR="00747D34" w:rsidRDefault="00747D34" w:rsidP="328B30DD">
            <w:pPr>
              <w:rPr>
                <w:rFonts w:eastAsiaTheme="minorEastAsia"/>
                <w:color w:val="FF0000"/>
              </w:rPr>
            </w:pPr>
          </w:p>
          <w:p w14:paraId="6266C2DA" w14:textId="40ECF76F" w:rsidR="00747D34" w:rsidRDefault="00747D34" w:rsidP="328B30DD">
            <w:pPr>
              <w:rPr>
                <w:rFonts w:eastAsiaTheme="minorEastAsia"/>
                <w:color w:val="FF0000"/>
              </w:rPr>
            </w:pPr>
            <w:r>
              <w:rPr>
                <w:rFonts w:eastAsiaTheme="minorEastAsia"/>
                <w:color w:val="FF0000"/>
              </w:rPr>
              <w:t xml:space="preserve">Example of getting all stakeholders engaged. Discussion around airworthiness/regulatory </w:t>
            </w:r>
            <w:proofErr w:type="spellStart"/>
            <w:r>
              <w:rPr>
                <w:rFonts w:eastAsiaTheme="minorEastAsia"/>
                <w:color w:val="FF0000"/>
              </w:rPr>
              <w:t>checklsits</w:t>
            </w:r>
            <w:proofErr w:type="spellEnd"/>
            <w:r>
              <w:rPr>
                <w:rFonts w:eastAsiaTheme="minorEastAsia"/>
                <w:color w:val="FF0000"/>
              </w:rPr>
              <w:t xml:space="preserve"> slowing down processes with a “we get to it when we get to it”</w:t>
            </w:r>
            <w:r w:rsidR="00B73CA8">
              <w:rPr>
                <w:rFonts w:eastAsiaTheme="minorEastAsia"/>
                <w:color w:val="FF0000"/>
              </w:rPr>
              <w:t xml:space="preserve"> attitude. Let’s separate what impacts airworthiness vs what doesn’t we aren’t getting sign-offs where it isn’t needed. De-centralize. Get an </w:t>
            </w:r>
            <w:r w:rsidR="00B73CA8" w:rsidRPr="00B73CA8">
              <w:rPr>
                <w:rFonts w:eastAsiaTheme="minorEastAsia"/>
                <w:color w:val="FF0000"/>
                <w:u w:val="single"/>
              </w:rPr>
              <w:t>empowered</w:t>
            </w:r>
            <w:r w:rsidR="00B73CA8">
              <w:rPr>
                <w:rFonts w:eastAsiaTheme="minorEastAsia"/>
                <w:color w:val="FF0000"/>
              </w:rPr>
              <w:t xml:space="preserve"> airworthiness stakeholder within the program team to review and make decisions. </w:t>
            </w:r>
          </w:p>
          <w:p w14:paraId="09CB213F" w14:textId="77777777" w:rsidR="00B73CA8" w:rsidRDefault="00B73CA8" w:rsidP="328B30DD">
            <w:pPr>
              <w:rPr>
                <w:rFonts w:eastAsiaTheme="minorEastAsia"/>
                <w:color w:val="FF0000"/>
              </w:rPr>
            </w:pPr>
          </w:p>
          <w:p w14:paraId="00BF90D3" w14:textId="50868D78" w:rsidR="00B73CA8" w:rsidRDefault="00B73CA8" w:rsidP="328B30DD">
            <w:pPr>
              <w:rPr>
                <w:rFonts w:eastAsiaTheme="minorEastAsia"/>
                <w:color w:val="FF0000"/>
              </w:rPr>
            </w:pPr>
            <w:r>
              <w:rPr>
                <w:rFonts w:eastAsiaTheme="minorEastAsia"/>
                <w:color w:val="FF0000"/>
              </w:rPr>
              <w:t>Role-based user-interfaces could allow for users to see views of models/data that matter to them to allow for faster reviews and decisions, with flags/highlights for changes with the highest risk factors triggered – put focus on the most important</w:t>
            </w:r>
            <w:r w:rsidR="00477E0E">
              <w:rPr>
                <w:rFonts w:eastAsiaTheme="minorEastAsia"/>
                <w:color w:val="FF0000"/>
              </w:rPr>
              <w:t>/risk areas first.</w:t>
            </w:r>
          </w:p>
          <w:p w14:paraId="4E950880" w14:textId="77777777" w:rsidR="00477E0E" w:rsidRDefault="00477E0E" w:rsidP="328B30DD">
            <w:pPr>
              <w:rPr>
                <w:rFonts w:eastAsiaTheme="minorEastAsia"/>
                <w:color w:val="FF0000"/>
              </w:rPr>
            </w:pPr>
          </w:p>
          <w:p w14:paraId="69CC6048" w14:textId="4C167C90" w:rsidR="00477E0E" w:rsidRDefault="00477E0E" w:rsidP="328B30DD">
            <w:pPr>
              <w:rPr>
                <w:rFonts w:eastAsiaTheme="minorEastAsia"/>
                <w:color w:val="FF0000"/>
              </w:rPr>
            </w:pPr>
            <w:r>
              <w:rPr>
                <w:rFonts w:eastAsiaTheme="minorEastAsia"/>
                <w:color w:val="FF0000"/>
              </w:rPr>
              <w:t xml:space="preserve">The sooner we can show data to the stakeholder, the better. Future state – those stakeholders will still be here, so we can’t “burn it down”. We need shorter iterations – more like a retrospective on a short sprint, could be asynchronous. Consider using </w:t>
            </w:r>
            <w:proofErr w:type="spellStart"/>
            <w:r>
              <w:rPr>
                <w:rFonts w:eastAsiaTheme="minorEastAsia"/>
                <w:color w:val="FF0000"/>
              </w:rPr>
              <w:t>devops</w:t>
            </w:r>
            <w:proofErr w:type="spellEnd"/>
            <w:r>
              <w:rPr>
                <w:rFonts w:eastAsiaTheme="minorEastAsia"/>
                <w:color w:val="FF0000"/>
              </w:rPr>
              <w:t xml:space="preserve"> tools. </w:t>
            </w:r>
          </w:p>
          <w:p w14:paraId="71355825" w14:textId="77777777" w:rsidR="00477E0E" w:rsidRDefault="00477E0E" w:rsidP="328B30DD">
            <w:pPr>
              <w:rPr>
                <w:rFonts w:eastAsiaTheme="minorEastAsia"/>
                <w:color w:val="FF0000"/>
              </w:rPr>
            </w:pPr>
          </w:p>
          <w:p w14:paraId="1A928E67" w14:textId="4613CD52" w:rsidR="00477E0E" w:rsidRDefault="00477E0E" w:rsidP="328B30DD">
            <w:pPr>
              <w:rPr>
                <w:rFonts w:eastAsiaTheme="minorEastAsia"/>
                <w:color w:val="FF0000"/>
              </w:rPr>
            </w:pPr>
            <w:r>
              <w:rPr>
                <w:rFonts w:eastAsiaTheme="minorEastAsia"/>
                <w:color w:val="FF0000"/>
              </w:rPr>
              <w:t xml:space="preserve">Having an integration plan is really important. </w:t>
            </w:r>
          </w:p>
          <w:p w14:paraId="45691DA5" w14:textId="77777777" w:rsidR="00477E0E" w:rsidRDefault="00477E0E" w:rsidP="328B30DD">
            <w:pPr>
              <w:rPr>
                <w:rFonts w:eastAsiaTheme="minorEastAsia"/>
                <w:color w:val="FF0000"/>
              </w:rPr>
            </w:pPr>
          </w:p>
          <w:p w14:paraId="460A5F05" w14:textId="0622C17B" w:rsidR="00477E0E" w:rsidRDefault="00477E0E" w:rsidP="328B30DD">
            <w:pPr>
              <w:rPr>
                <w:rFonts w:eastAsiaTheme="minorEastAsia"/>
                <w:color w:val="FF0000"/>
              </w:rPr>
            </w:pPr>
            <w:r>
              <w:rPr>
                <w:rFonts w:eastAsiaTheme="minorEastAsia"/>
                <w:color w:val="FF0000"/>
              </w:rPr>
              <w:t>CDRs exist for a reason and are – and will be necessary.</w:t>
            </w:r>
            <w:r w:rsidR="00F8574C">
              <w:rPr>
                <w:rFonts w:eastAsiaTheme="minorEastAsia"/>
                <w:color w:val="FF0000"/>
              </w:rPr>
              <w:t xml:space="preserve"> We need to assess risk and we need to align stakeholders. In today’s world, we sometimes don’t look deep enough for get far enough into the analysis to know true risk factors. We really need a continuous review.</w:t>
            </w:r>
          </w:p>
          <w:p w14:paraId="0DECD14B" w14:textId="77777777" w:rsidR="00F8574C" w:rsidRDefault="00F8574C" w:rsidP="328B30DD">
            <w:pPr>
              <w:rPr>
                <w:rFonts w:eastAsiaTheme="minorEastAsia"/>
                <w:color w:val="FF0000"/>
              </w:rPr>
            </w:pPr>
          </w:p>
          <w:p w14:paraId="35644C1F" w14:textId="5FC3F9DE" w:rsidR="00F8574C" w:rsidRDefault="00F8574C" w:rsidP="328B30DD">
            <w:pPr>
              <w:rPr>
                <w:rFonts w:eastAsiaTheme="minorEastAsia"/>
                <w:color w:val="FF0000"/>
              </w:rPr>
            </w:pPr>
            <w:r>
              <w:rPr>
                <w:rFonts w:eastAsiaTheme="minorEastAsia"/>
                <w:color w:val="FF0000"/>
              </w:rPr>
              <w:t>CDRs could consider multiple outcomes with an ability to pivot fast, using DevOps techniques. We many need to look at a suite of options. Could use AI to come through doctrine to find starting points for solutions.</w:t>
            </w:r>
          </w:p>
          <w:p w14:paraId="7AA60CF7" w14:textId="77777777" w:rsidR="00F8574C" w:rsidRDefault="00F8574C" w:rsidP="328B30DD">
            <w:pPr>
              <w:rPr>
                <w:rFonts w:eastAsiaTheme="minorEastAsia"/>
                <w:color w:val="FF0000"/>
              </w:rPr>
            </w:pPr>
          </w:p>
          <w:p w14:paraId="4081E024" w14:textId="3D5F508B" w:rsidR="00F8574C" w:rsidRDefault="00F8574C" w:rsidP="328B30DD">
            <w:pPr>
              <w:rPr>
                <w:rFonts w:eastAsiaTheme="minorEastAsia"/>
                <w:color w:val="FF0000"/>
              </w:rPr>
            </w:pPr>
            <w:r>
              <w:rPr>
                <w:rFonts w:eastAsiaTheme="minorEastAsia"/>
                <w:color w:val="FF0000"/>
              </w:rPr>
              <w:t>Remember the intent of a CDR: it’s a risk review.</w:t>
            </w:r>
            <w:r w:rsidR="0012220C">
              <w:rPr>
                <w:rFonts w:eastAsiaTheme="minorEastAsia"/>
                <w:color w:val="FF0000"/>
              </w:rPr>
              <w:t xml:space="preserve"> At the end, you don’t have a perfect answer. All you have is an answer to “is the risk acceptable enough to move forward. So what we really need to do is find a way to get to that answer more quickly!</w:t>
            </w:r>
          </w:p>
          <w:p w14:paraId="33D63D80" w14:textId="77777777" w:rsidR="0012220C" w:rsidRDefault="0012220C" w:rsidP="328B30DD">
            <w:pPr>
              <w:rPr>
                <w:rFonts w:eastAsiaTheme="minorEastAsia"/>
                <w:color w:val="FF0000"/>
              </w:rPr>
            </w:pPr>
          </w:p>
          <w:p w14:paraId="18F4DF3A" w14:textId="26153E22" w:rsidR="0012220C" w:rsidRPr="00E7641F" w:rsidRDefault="00E56D8E" w:rsidP="328B30DD">
            <w:pPr>
              <w:rPr>
                <w:rFonts w:eastAsiaTheme="minorEastAsia"/>
                <w:color w:val="FF0000"/>
              </w:rPr>
            </w:pPr>
            <w:r>
              <w:rPr>
                <w:rFonts w:eastAsiaTheme="minorEastAsia"/>
                <w:color w:val="FF0000"/>
              </w:rPr>
              <w:t xml:space="preserve">Examples of </w:t>
            </w:r>
            <w:r w:rsidR="0012220C">
              <w:rPr>
                <w:rFonts w:eastAsiaTheme="minorEastAsia"/>
                <w:color w:val="FF0000"/>
              </w:rPr>
              <w:t xml:space="preserve">Stakeholders for the CDR: </w:t>
            </w:r>
            <w:r>
              <w:rPr>
                <w:rFonts w:eastAsiaTheme="minorEastAsia"/>
                <w:color w:val="FF0000"/>
              </w:rPr>
              <w:t>Cyber, T&amp;E, Airworthiness, Sustainment.</w:t>
            </w:r>
          </w:p>
          <w:p w14:paraId="62731E24" w14:textId="7561AB86" w:rsidR="328B30DD" w:rsidRDefault="328B30DD" w:rsidP="328B30DD">
            <w:pPr>
              <w:rPr>
                <w:rFonts w:eastAsiaTheme="minorEastAsia"/>
              </w:rPr>
            </w:pPr>
          </w:p>
          <w:p w14:paraId="75AC3A2D" w14:textId="4B7DE69D" w:rsidR="328B30DD" w:rsidRDefault="328B30DD" w:rsidP="328B30DD">
            <w:pPr>
              <w:rPr>
                <w:rFonts w:eastAsiaTheme="minorEastAsia"/>
              </w:rPr>
            </w:pPr>
          </w:p>
          <w:p w14:paraId="7F7ADBE4" w14:textId="2252E954" w:rsidR="328B30DD" w:rsidRDefault="328B30DD" w:rsidP="328B30DD">
            <w:pPr>
              <w:rPr>
                <w:rFonts w:eastAsiaTheme="minorEastAsia"/>
              </w:rPr>
            </w:pPr>
          </w:p>
          <w:p w14:paraId="5500E6C8" w14:textId="2453685D" w:rsidR="328B30DD" w:rsidRDefault="328B30DD" w:rsidP="328B30DD">
            <w:pPr>
              <w:rPr>
                <w:rFonts w:eastAsiaTheme="minorEastAsia"/>
              </w:rPr>
            </w:pPr>
          </w:p>
          <w:p w14:paraId="1B65B07D" w14:textId="745C73C4" w:rsidR="328B30DD" w:rsidRDefault="328B30DD" w:rsidP="328B30DD">
            <w:pPr>
              <w:rPr>
                <w:rFonts w:eastAsiaTheme="minorEastAsia"/>
              </w:rPr>
            </w:pPr>
          </w:p>
          <w:p w14:paraId="3711B78C" w14:textId="5D2645A5" w:rsidR="328B30DD" w:rsidRDefault="328B30DD" w:rsidP="328B30DD">
            <w:pPr>
              <w:rPr>
                <w:rFonts w:eastAsiaTheme="minorEastAsia"/>
              </w:rPr>
            </w:pPr>
          </w:p>
          <w:p w14:paraId="298901FB" w14:textId="41770E07" w:rsidR="328B30DD" w:rsidRDefault="328B30DD" w:rsidP="328B30DD">
            <w:pPr>
              <w:rPr>
                <w:rFonts w:eastAsiaTheme="minorEastAsia"/>
              </w:rPr>
            </w:pPr>
          </w:p>
          <w:p w14:paraId="4484BE9D" w14:textId="77777777" w:rsidR="00B25ED9" w:rsidRDefault="00B25ED9" w:rsidP="328B30DD">
            <w:pPr>
              <w:rPr>
                <w:rFonts w:eastAsiaTheme="minorEastAsia"/>
              </w:rPr>
            </w:pPr>
          </w:p>
          <w:p w14:paraId="52CDE523" w14:textId="1DC21827" w:rsidR="328B30DD" w:rsidRDefault="328B30DD"/>
        </w:tc>
      </w:tr>
      <w:tr w:rsidR="328B30DD" w14:paraId="52596D2F" w14:textId="77777777" w:rsidTr="3D2C5891">
        <w:trPr>
          <w:trHeight w:val="300"/>
        </w:trPr>
        <w:tc>
          <w:tcPr>
            <w:tcW w:w="10615" w:type="dxa"/>
            <w:shd w:val="clear" w:color="auto" w:fill="FFC000"/>
          </w:tcPr>
          <w:p w14:paraId="2B3A4156" w14:textId="6403D178" w:rsidR="328B30DD" w:rsidRDefault="328B30DD">
            <w:r w:rsidRPr="328B30DD">
              <w:rPr>
                <w:b/>
                <w:bCs/>
              </w:rPr>
              <w:lastRenderedPageBreak/>
              <w:t>Additional Comments/Feedback</w:t>
            </w:r>
          </w:p>
        </w:tc>
      </w:tr>
      <w:tr w:rsidR="328B30DD" w14:paraId="3840C8BC" w14:textId="77777777" w:rsidTr="3D2C5891">
        <w:trPr>
          <w:trHeight w:val="300"/>
        </w:trPr>
        <w:tc>
          <w:tcPr>
            <w:tcW w:w="10615" w:type="dxa"/>
            <w:shd w:val="clear" w:color="auto" w:fill="FFFFFF" w:themeFill="background1"/>
          </w:tcPr>
          <w:p w14:paraId="407CA682" w14:textId="77777777" w:rsidR="005C7690" w:rsidRDefault="66FAB7B3">
            <w:r>
              <w:t xml:space="preserve">Please provide any additional comments or suggestions on SETRs, Digital Transformation, or other areas you would like to express to the Air Force Material Command. </w:t>
            </w:r>
          </w:p>
          <w:p w14:paraId="6D1AC3B1" w14:textId="77777777" w:rsidR="328B30DD" w:rsidRDefault="328B30DD"/>
          <w:p w14:paraId="30A7C746" w14:textId="76DBFF91" w:rsidR="328B30DD" w:rsidRDefault="66FAB7B3" w:rsidP="328B30DD">
            <w:pPr>
              <w:rPr>
                <w:b/>
                <w:bCs/>
              </w:rPr>
            </w:pPr>
            <w:r>
              <w:t>Please also include on feedback on the workshop, or recommendations for workshops or events you would like to participate in the future.</w:t>
            </w:r>
          </w:p>
          <w:p w14:paraId="79CD9B13" w14:textId="17A3E753" w:rsidR="328B30DD" w:rsidRDefault="328B30DD"/>
          <w:p w14:paraId="25F433BB" w14:textId="041BD6A3" w:rsidR="328B30DD" w:rsidRDefault="328B30DD"/>
          <w:p w14:paraId="53A2661E" w14:textId="79C35681" w:rsidR="328B30DD" w:rsidRDefault="328B30DD"/>
          <w:p w14:paraId="460AB6F9" w14:textId="3881AC92" w:rsidR="328B30DD" w:rsidRDefault="328B30DD"/>
          <w:p w14:paraId="5B40BC72" w14:textId="73980419" w:rsidR="328B30DD" w:rsidRDefault="328B30DD"/>
          <w:p w14:paraId="4EC214E5" w14:textId="6670791B" w:rsidR="328B30DD" w:rsidRDefault="328B30DD"/>
          <w:p w14:paraId="7334A6B9" w14:textId="62B88DAE" w:rsidR="328B30DD" w:rsidRDefault="328B30DD"/>
          <w:p w14:paraId="1C1F8D16" w14:textId="264D9688" w:rsidR="328B30DD" w:rsidRDefault="328B30DD"/>
          <w:p w14:paraId="7C67A98D" w14:textId="73BE4CD5" w:rsidR="328B30DD" w:rsidRDefault="328B30DD"/>
          <w:p w14:paraId="3E7B1A07" w14:textId="710DBDA9" w:rsidR="328B30DD" w:rsidRDefault="328B30DD" w:rsidP="328B30DD"/>
          <w:p w14:paraId="3D957617" w14:textId="31F9B6ED" w:rsidR="328B30DD" w:rsidRDefault="328B30DD" w:rsidP="328B30DD"/>
          <w:p w14:paraId="4B9809A8" w14:textId="4C361B0B" w:rsidR="328B30DD" w:rsidRDefault="328B30DD" w:rsidP="328B30DD"/>
          <w:p w14:paraId="520CCAE3" w14:textId="680F01E3" w:rsidR="328B30DD" w:rsidRDefault="328B30DD" w:rsidP="328B30DD"/>
          <w:p w14:paraId="5E2E2D3F" w14:textId="271447FF" w:rsidR="328B30DD" w:rsidRDefault="328B30DD" w:rsidP="328B30DD"/>
          <w:p w14:paraId="42678D36" w14:textId="01BC3E85" w:rsidR="328B30DD" w:rsidRDefault="328B30DD" w:rsidP="328B30DD"/>
          <w:p w14:paraId="72761911" w14:textId="77777777" w:rsidR="00626CD8" w:rsidRDefault="00626CD8" w:rsidP="328B30DD"/>
          <w:p w14:paraId="7208D6D1" w14:textId="77777777" w:rsidR="00626CD8" w:rsidRDefault="00626CD8" w:rsidP="328B30DD"/>
          <w:p w14:paraId="45544A2F" w14:textId="77777777" w:rsidR="00626CD8" w:rsidRDefault="00626CD8" w:rsidP="328B30DD"/>
          <w:p w14:paraId="7745A8D0" w14:textId="585BCDEE" w:rsidR="328B30DD" w:rsidRDefault="328B30DD" w:rsidP="328B30DD"/>
          <w:p w14:paraId="19E4AA7A" w14:textId="38E21E70" w:rsidR="328B30DD" w:rsidRDefault="328B30DD" w:rsidP="328B30DD"/>
          <w:p w14:paraId="3FF1DE6D" w14:textId="2FF4F4EF" w:rsidR="328B30DD" w:rsidRDefault="328B30DD" w:rsidP="328B30DD"/>
          <w:p w14:paraId="7C271B6E" w14:textId="77C3AD36" w:rsidR="328B30DD" w:rsidRDefault="328B30DD" w:rsidP="328B30DD"/>
          <w:p w14:paraId="6CF3A55C" w14:textId="44C9B12B" w:rsidR="328B30DD" w:rsidRDefault="328B30DD" w:rsidP="328B30DD"/>
          <w:p w14:paraId="30F05045" w14:textId="7B0E66C4" w:rsidR="328B30DD" w:rsidRDefault="328B30DD" w:rsidP="328B30DD"/>
          <w:p w14:paraId="5BE81CCB" w14:textId="415A17B2" w:rsidR="328B30DD" w:rsidRDefault="328B30DD" w:rsidP="328B30DD"/>
          <w:p w14:paraId="4B962194" w14:textId="1D05EF83" w:rsidR="328B30DD" w:rsidRDefault="328B30DD" w:rsidP="328B30DD"/>
          <w:p w14:paraId="409FCF6A" w14:textId="33D2864E" w:rsidR="328B30DD" w:rsidRDefault="328B30DD" w:rsidP="328B30DD"/>
          <w:p w14:paraId="1B5615D9" w14:textId="63E078F9" w:rsidR="328B30DD" w:rsidRDefault="328B30DD" w:rsidP="328B30DD"/>
          <w:p w14:paraId="709262C3" w14:textId="6E03E058" w:rsidR="328B30DD" w:rsidRDefault="328B30DD" w:rsidP="328B30DD"/>
          <w:p w14:paraId="09309FCF" w14:textId="18A05EBE" w:rsidR="328B30DD" w:rsidRDefault="328B30DD" w:rsidP="328B30DD"/>
          <w:p w14:paraId="4CE4E7F6" w14:textId="47AF20FB" w:rsidR="328B30DD" w:rsidRDefault="328B30DD" w:rsidP="328B30DD"/>
          <w:p w14:paraId="24F10647" w14:textId="233C272E" w:rsidR="328B30DD" w:rsidRDefault="328B30DD"/>
          <w:p w14:paraId="20C70A23" w14:textId="003D5E34" w:rsidR="328B30DD" w:rsidRDefault="328B30DD"/>
          <w:p w14:paraId="552B6D7C" w14:textId="0909ED86" w:rsidR="328B30DD" w:rsidRDefault="328B30DD"/>
          <w:p w14:paraId="41A55C7F" w14:textId="1E2430EB" w:rsidR="328B30DD" w:rsidRDefault="328B30DD" w:rsidP="328B30DD"/>
          <w:p w14:paraId="33080C52" w14:textId="55F7E1D4" w:rsidR="328B30DD" w:rsidRDefault="328B30DD" w:rsidP="328B30DD"/>
          <w:p w14:paraId="6B6832C1" w14:textId="5A41CD4D" w:rsidR="328B30DD" w:rsidRDefault="328B30DD"/>
          <w:p w14:paraId="4B28331F" w14:textId="7AED2D24" w:rsidR="328B30DD" w:rsidRDefault="328B30DD"/>
          <w:p w14:paraId="0F00EA18" w14:textId="6B36A83A" w:rsidR="328B30DD" w:rsidRDefault="328B30DD"/>
          <w:p w14:paraId="10DA8460" w14:textId="55FC135F" w:rsidR="328B30DD" w:rsidRDefault="328B30DD"/>
          <w:p w14:paraId="45698BC7" w14:textId="2B741328" w:rsidR="328B30DD" w:rsidRDefault="328B30DD"/>
        </w:tc>
      </w:tr>
    </w:tbl>
    <w:p w14:paraId="055208C7" w14:textId="116ED2D5" w:rsidR="00D03D77" w:rsidRDefault="00D03D77" w:rsidP="00F22E41"/>
    <w:sectPr w:rsidR="00D03D77" w:rsidSect="0028307A">
      <w:headerReference w:type="default" r:id="rId11"/>
      <w:footerReference w:type="even" r:id="rId12"/>
      <w:footerReference w:type="default" r:id="rId13"/>
      <w:footerReference w:type="firs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2B8D5" w14:textId="77777777" w:rsidR="00B30B2E" w:rsidRDefault="00B30B2E" w:rsidP="00237752">
      <w:pPr>
        <w:spacing w:after="0" w:line="240" w:lineRule="auto"/>
      </w:pPr>
      <w:r>
        <w:separator/>
      </w:r>
    </w:p>
  </w:endnote>
  <w:endnote w:type="continuationSeparator" w:id="0">
    <w:p w14:paraId="79254327" w14:textId="77777777" w:rsidR="00B30B2E" w:rsidRDefault="00B30B2E" w:rsidP="00237752">
      <w:pPr>
        <w:spacing w:after="0" w:line="240" w:lineRule="auto"/>
      </w:pPr>
      <w:r>
        <w:continuationSeparator/>
      </w:r>
    </w:p>
  </w:endnote>
  <w:endnote w:type="continuationNotice" w:id="1">
    <w:p w14:paraId="576F0747" w14:textId="77777777" w:rsidR="00B30B2E" w:rsidRDefault="00B30B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C80C" w14:textId="4B4B4A77" w:rsidR="00D209F7" w:rsidRDefault="00D209F7">
    <w:pPr>
      <w:pStyle w:val="Footer"/>
    </w:pPr>
    <w:r>
      <w:rPr>
        <w:noProof/>
      </w:rPr>
      <mc:AlternateContent>
        <mc:Choice Requires="wps">
          <w:drawing>
            <wp:anchor distT="0" distB="0" distL="0" distR="0" simplePos="0" relativeHeight="251659264" behindDoc="0" locked="0" layoutInCell="1" allowOverlap="1" wp14:anchorId="22748648" wp14:editId="4FA60715">
              <wp:simplePos x="635" y="635"/>
              <wp:positionH relativeFrom="page">
                <wp:align>left</wp:align>
              </wp:positionH>
              <wp:positionV relativeFrom="page">
                <wp:align>bottom</wp:align>
              </wp:positionV>
              <wp:extent cx="1550670" cy="324485"/>
              <wp:effectExtent l="0" t="0" r="11430" b="0"/>
              <wp:wrapNone/>
              <wp:docPr id="586955917" name="Text Box 2" descr="UDRI Proprietary - Unprote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0670" cy="324485"/>
                      </a:xfrm>
                      <a:prstGeom prst="rect">
                        <a:avLst/>
                      </a:prstGeom>
                      <a:noFill/>
                      <a:ln>
                        <a:noFill/>
                      </a:ln>
                    </wps:spPr>
                    <wps:txbx>
                      <w:txbxContent>
                        <w:p w14:paraId="22B303D5" w14:textId="48A6B721" w:rsidR="00D209F7" w:rsidRPr="00D209F7" w:rsidRDefault="00D209F7" w:rsidP="00D209F7">
                          <w:pPr>
                            <w:spacing w:after="0"/>
                            <w:rPr>
                              <w:rFonts w:ascii="Calibri" w:eastAsia="Calibri" w:hAnsi="Calibri" w:cs="Calibri"/>
                              <w:noProof/>
                              <w:color w:val="000000"/>
                              <w:sz w:val="16"/>
                              <w:szCs w:val="16"/>
                            </w:rPr>
                          </w:pPr>
                          <w:r w:rsidRPr="00D209F7">
                            <w:rPr>
                              <w:rFonts w:ascii="Calibri" w:eastAsia="Calibri" w:hAnsi="Calibri" w:cs="Calibri"/>
                              <w:noProof/>
                              <w:color w:val="000000"/>
                              <w:sz w:val="16"/>
                              <w:szCs w:val="16"/>
                            </w:rPr>
                            <w:t>UDRI Proprietary - Unprotected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2748648" id="_x0000_t202" coordsize="21600,21600" o:spt="202" path="m,l,21600r21600,l21600,xe">
              <v:stroke joinstyle="miter"/>
              <v:path gradientshapeok="t" o:connecttype="rect"/>
            </v:shapetype>
            <v:shape id="Text Box 2" o:spid="_x0000_s1026" type="#_x0000_t202" alt="UDRI Proprietary - Unprotected" style="position:absolute;margin-left:0;margin-top:0;width:122.1pt;height:25.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" filled="f" stroked="f">
              <v:fill o:detectmouseclick="t"/>
              <v:textbox style="mso-fit-shape-to-text:t" inset="20pt,0,0,15pt">
                <w:txbxContent>
                  <w:p w14:paraId="22B303D5" w14:textId="48A6B721" w:rsidR="00D209F7" w:rsidRPr="00D209F7" w:rsidRDefault="00D209F7" w:rsidP="00D209F7">
                    <w:pPr>
                      <w:spacing w:after="0"/>
                      <w:rPr>
                        <w:rFonts w:ascii="Calibri" w:eastAsia="Calibri" w:hAnsi="Calibri" w:cs="Calibri"/>
                        <w:noProof/>
                        <w:color w:val="000000"/>
                        <w:sz w:val="16"/>
                        <w:szCs w:val="16"/>
                      </w:rPr>
                    </w:pPr>
                    <w:r w:rsidRPr="00D209F7">
                      <w:rPr>
                        <w:rFonts w:ascii="Calibri" w:eastAsia="Calibri" w:hAnsi="Calibri" w:cs="Calibri"/>
                        <w:noProof/>
                        <w:color w:val="000000"/>
                        <w:sz w:val="16"/>
                        <w:szCs w:val="16"/>
                      </w:rPr>
                      <w:t>UDRI Proprietary - Unprotected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28B30DD" w14:paraId="388CCCBE" w14:textId="77777777" w:rsidTr="328B30DD">
      <w:trPr>
        <w:trHeight w:val="300"/>
      </w:trPr>
      <w:tc>
        <w:tcPr>
          <w:tcW w:w="3600" w:type="dxa"/>
        </w:tcPr>
        <w:p w14:paraId="4428B61F" w14:textId="2412BD7E" w:rsidR="328B30DD" w:rsidRDefault="00D209F7" w:rsidP="328B30DD">
          <w:pPr>
            <w:pStyle w:val="Header"/>
            <w:ind w:left="-115"/>
          </w:pPr>
          <w:r>
            <w:rPr>
              <w:noProof/>
            </w:rPr>
            <mc:AlternateContent>
              <mc:Choice Requires="wps">
                <w:drawing>
                  <wp:anchor distT="0" distB="0" distL="0" distR="0" simplePos="0" relativeHeight="251660288" behindDoc="0" locked="0" layoutInCell="1" allowOverlap="1" wp14:anchorId="7DFC5D1E" wp14:editId="3DF2E01F">
                    <wp:simplePos x="523875" y="9239250"/>
                    <wp:positionH relativeFrom="page">
                      <wp:align>left</wp:align>
                    </wp:positionH>
                    <wp:positionV relativeFrom="page">
                      <wp:align>bottom</wp:align>
                    </wp:positionV>
                    <wp:extent cx="1550670" cy="324485"/>
                    <wp:effectExtent l="0" t="0" r="11430" b="0"/>
                    <wp:wrapNone/>
                    <wp:docPr id="1335204598" name="Text Box 3" descr="UDRI Proprietary - Unprote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0670" cy="324485"/>
                            </a:xfrm>
                            <a:prstGeom prst="rect">
                              <a:avLst/>
                            </a:prstGeom>
                            <a:noFill/>
                            <a:ln>
                              <a:noFill/>
                            </a:ln>
                          </wps:spPr>
                          <wps:txbx>
                            <w:txbxContent>
                              <w:p w14:paraId="7A534621" w14:textId="67B650C1" w:rsidR="00D209F7" w:rsidRPr="00D209F7" w:rsidRDefault="00D209F7" w:rsidP="00D209F7">
                                <w:pPr>
                                  <w:spacing w:after="0"/>
                                  <w:rPr>
                                    <w:rFonts w:ascii="Calibri" w:eastAsia="Calibri" w:hAnsi="Calibri" w:cs="Calibri"/>
                                    <w:noProof/>
                                    <w:color w:val="000000"/>
                                    <w:sz w:val="16"/>
                                    <w:szCs w:val="16"/>
                                  </w:rPr>
                                </w:pPr>
                                <w:r w:rsidRPr="00D209F7">
                                  <w:rPr>
                                    <w:rFonts w:ascii="Calibri" w:eastAsia="Calibri" w:hAnsi="Calibri" w:cs="Calibri"/>
                                    <w:noProof/>
                                    <w:color w:val="000000"/>
                                    <w:sz w:val="16"/>
                                    <w:szCs w:val="16"/>
                                  </w:rPr>
                                  <w:t>UDRI Proprietary - Unprotected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DFC5D1E" id="_x0000_t202" coordsize="21600,21600" o:spt="202" path="m,l,21600r21600,l21600,xe">
                    <v:stroke joinstyle="miter"/>
                    <v:path gradientshapeok="t" o:connecttype="rect"/>
                  </v:shapetype>
                  <v:shape id="Text Box 3" o:spid="_x0000_s1027" type="#_x0000_t202" alt="UDRI Proprietary - Unprotected" style="position:absolute;left:0;text-align:left;margin-left:0;margin-top:0;width:122.1pt;height:25.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" filled="f" stroked="f">
                    <v:fill o:detectmouseclick="t"/>
                    <v:textbox style="mso-fit-shape-to-text:t" inset="20pt,0,0,15pt">
                      <w:txbxContent>
                        <w:p w14:paraId="7A534621" w14:textId="67B650C1" w:rsidR="00D209F7" w:rsidRPr="00D209F7" w:rsidRDefault="00D209F7" w:rsidP="00D209F7">
                          <w:pPr>
                            <w:spacing w:after="0"/>
                            <w:rPr>
                              <w:rFonts w:ascii="Calibri" w:eastAsia="Calibri" w:hAnsi="Calibri" w:cs="Calibri"/>
                              <w:noProof/>
                              <w:color w:val="000000"/>
                              <w:sz w:val="16"/>
                              <w:szCs w:val="16"/>
                            </w:rPr>
                          </w:pPr>
                          <w:r w:rsidRPr="00D209F7">
                            <w:rPr>
                              <w:rFonts w:ascii="Calibri" w:eastAsia="Calibri" w:hAnsi="Calibri" w:cs="Calibri"/>
                              <w:noProof/>
                              <w:color w:val="000000"/>
                              <w:sz w:val="16"/>
                              <w:szCs w:val="16"/>
                            </w:rPr>
                            <w:t>UDRI Proprietary - Unprotected</w:t>
                          </w:r>
                        </w:p>
                      </w:txbxContent>
                    </v:textbox>
                    <w10:wrap anchorx="page" anchory="page"/>
                  </v:shape>
                </w:pict>
              </mc:Fallback>
            </mc:AlternateContent>
          </w:r>
        </w:p>
      </w:tc>
      <w:tc>
        <w:tcPr>
          <w:tcW w:w="3600" w:type="dxa"/>
        </w:tcPr>
        <w:p w14:paraId="0E18922C" w14:textId="3E75A388" w:rsidR="328B30DD" w:rsidRDefault="328B30DD" w:rsidP="328B30DD">
          <w:pPr>
            <w:pStyle w:val="Header"/>
            <w:jc w:val="center"/>
          </w:pPr>
        </w:p>
      </w:tc>
      <w:tc>
        <w:tcPr>
          <w:tcW w:w="3600" w:type="dxa"/>
        </w:tcPr>
        <w:p w14:paraId="3F4DA14D" w14:textId="09F2174E" w:rsidR="328B30DD" w:rsidRDefault="328B30DD" w:rsidP="328B30DD">
          <w:pPr>
            <w:pStyle w:val="Header"/>
            <w:ind w:right="-115"/>
            <w:jc w:val="right"/>
          </w:pPr>
          <w:r>
            <w:fldChar w:fldCharType="begin"/>
          </w:r>
          <w:r>
            <w:instrText>PAGE</w:instrText>
          </w:r>
          <w:r>
            <w:fldChar w:fldCharType="separate"/>
          </w:r>
          <w:r w:rsidR="00D3113F">
            <w:rPr>
              <w:noProof/>
            </w:rPr>
            <w:t>1</w:t>
          </w:r>
          <w:r>
            <w:fldChar w:fldCharType="end"/>
          </w:r>
        </w:p>
      </w:tc>
    </w:tr>
  </w:tbl>
  <w:p w14:paraId="6668D625" w14:textId="3BF2F3F0" w:rsidR="00066B24" w:rsidRDefault="00066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29E5" w14:textId="222DA83E" w:rsidR="00D209F7" w:rsidRDefault="00D209F7">
    <w:pPr>
      <w:pStyle w:val="Footer"/>
    </w:pPr>
    <w:r>
      <w:rPr>
        <w:noProof/>
      </w:rPr>
      <mc:AlternateContent>
        <mc:Choice Requires="wps">
          <w:drawing>
            <wp:anchor distT="0" distB="0" distL="0" distR="0" simplePos="0" relativeHeight="251658240" behindDoc="0" locked="0" layoutInCell="1" allowOverlap="1" wp14:anchorId="4C9C118A" wp14:editId="6EF6660E">
              <wp:simplePos x="635" y="635"/>
              <wp:positionH relativeFrom="page">
                <wp:align>left</wp:align>
              </wp:positionH>
              <wp:positionV relativeFrom="page">
                <wp:align>bottom</wp:align>
              </wp:positionV>
              <wp:extent cx="1550670" cy="324485"/>
              <wp:effectExtent l="0" t="0" r="11430" b="0"/>
              <wp:wrapNone/>
              <wp:docPr id="368009748" name="Text Box 1" descr="UDRI Proprietary - Unprote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0670" cy="324485"/>
                      </a:xfrm>
                      <a:prstGeom prst="rect">
                        <a:avLst/>
                      </a:prstGeom>
                      <a:noFill/>
                      <a:ln>
                        <a:noFill/>
                      </a:ln>
                    </wps:spPr>
                    <wps:txbx>
                      <w:txbxContent>
                        <w:p w14:paraId="27D198D4" w14:textId="2EE0C3AD" w:rsidR="00D209F7" w:rsidRPr="00D209F7" w:rsidRDefault="00D209F7" w:rsidP="00D209F7">
                          <w:pPr>
                            <w:spacing w:after="0"/>
                            <w:rPr>
                              <w:rFonts w:ascii="Calibri" w:eastAsia="Calibri" w:hAnsi="Calibri" w:cs="Calibri"/>
                              <w:noProof/>
                              <w:color w:val="000000"/>
                              <w:sz w:val="16"/>
                              <w:szCs w:val="16"/>
                            </w:rPr>
                          </w:pPr>
                          <w:r w:rsidRPr="00D209F7">
                            <w:rPr>
                              <w:rFonts w:ascii="Calibri" w:eastAsia="Calibri" w:hAnsi="Calibri" w:cs="Calibri"/>
                              <w:noProof/>
                              <w:color w:val="000000"/>
                              <w:sz w:val="16"/>
                              <w:szCs w:val="16"/>
                            </w:rPr>
                            <w:t>UDRI Proprietary - Unprotected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9C118A" id="_x0000_t202" coordsize="21600,21600" o:spt="202" path="m,l,21600r21600,l21600,xe">
              <v:stroke joinstyle="miter"/>
              <v:path gradientshapeok="t" o:connecttype="rect"/>
            </v:shapetype>
            <v:shape id="Text Box 1" o:spid="_x0000_s1028" type="#_x0000_t202" alt="UDRI Proprietary - Unprotected" style="position:absolute;margin-left:0;margin-top:0;width:122.1pt;height:25.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" filled="f" stroked="f">
              <v:fill o:detectmouseclick="t"/>
              <v:textbox style="mso-fit-shape-to-text:t" inset="20pt,0,0,15pt">
                <w:txbxContent>
                  <w:p w14:paraId="27D198D4" w14:textId="2EE0C3AD" w:rsidR="00D209F7" w:rsidRPr="00D209F7" w:rsidRDefault="00D209F7" w:rsidP="00D209F7">
                    <w:pPr>
                      <w:spacing w:after="0"/>
                      <w:rPr>
                        <w:rFonts w:ascii="Calibri" w:eastAsia="Calibri" w:hAnsi="Calibri" w:cs="Calibri"/>
                        <w:noProof/>
                        <w:color w:val="000000"/>
                        <w:sz w:val="16"/>
                        <w:szCs w:val="16"/>
                      </w:rPr>
                    </w:pPr>
                    <w:r w:rsidRPr="00D209F7">
                      <w:rPr>
                        <w:rFonts w:ascii="Calibri" w:eastAsia="Calibri" w:hAnsi="Calibri" w:cs="Calibri"/>
                        <w:noProof/>
                        <w:color w:val="000000"/>
                        <w:sz w:val="16"/>
                        <w:szCs w:val="16"/>
                      </w:rPr>
                      <w:t>UDRI Proprietary - Unprotected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178B4" w14:textId="77777777" w:rsidR="00B30B2E" w:rsidRDefault="00B30B2E" w:rsidP="00237752">
      <w:pPr>
        <w:spacing w:after="0" w:line="240" w:lineRule="auto"/>
      </w:pPr>
      <w:r>
        <w:separator/>
      </w:r>
    </w:p>
  </w:footnote>
  <w:footnote w:type="continuationSeparator" w:id="0">
    <w:p w14:paraId="349A9045" w14:textId="77777777" w:rsidR="00B30B2E" w:rsidRDefault="00B30B2E" w:rsidP="00237752">
      <w:pPr>
        <w:spacing w:after="0" w:line="240" w:lineRule="auto"/>
      </w:pPr>
      <w:r>
        <w:continuationSeparator/>
      </w:r>
    </w:p>
  </w:footnote>
  <w:footnote w:type="continuationNotice" w:id="1">
    <w:p w14:paraId="3CFF9A9C" w14:textId="77777777" w:rsidR="00B30B2E" w:rsidRDefault="00B30B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0CAF" w14:textId="5845B873" w:rsidR="00F22E41" w:rsidRDefault="00F22E41" w:rsidP="00F22E41">
    <w:pPr>
      <w:pStyle w:val="Header"/>
      <w:jc w:val="center"/>
    </w:pPr>
    <w:r>
      <w:t>NDIA 27</w:t>
    </w:r>
    <w:r w:rsidRPr="00F22E41">
      <w:rPr>
        <w:vertAlign w:val="superscript"/>
      </w:rPr>
      <w:t>th</w:t>
    </w:r>
    <w:r>
      <w:t xml:space="preserve"> Annual Systems &amp; Mission Engineering Conference – 28 Oct 2024</w:t>
    </w:r>
  </w:p>
  <w:p w14:paraId="1F5F5DDD" w14:textId="3A7E9A7C" w:rsidR="00F22E41" w:rsidRDefault="00B13BCF" w:rsidP="00F22E41">
    <w:pPr>
      <w:pStyle w:val="Header"/>
      <w:jc w:val="center"/>
    </w:pPr>
    <w:r>
      <w:t>IAC DMM Workshop (</w:t>
    </w:r>
    <w:r w:rsidR="00F22E41">
      <w:t>Workshop 1</w:t>
    </w:r>
    <w:r>
      <w:t xml:space="preserve">): </w:t>
    </w:r>
    <w:r w:rsidR="00F22E41">
      <w:t>Implementing a Digital Technical Review Process</w:t>
    </w:r>
  </w:p>
  <w:p w14:paraId="5E5E8271" w14:textId="77777777" w:rsidR="001205DC" w:rsidRDefault="001205DC" w:rsidP="00F22E4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0F30"/>
    <w:multiLevelType w:val="multilevel"/>
    <w:tmpl w:val="D2129E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B607B7"/>
    <w:multiLevelType w:val="multilevel"/>
    <w:tmpl w:val="2D64B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CED624D"/>
    <w:multiLevelType w:val="multilevel"/>
    <w:tmpl w:val="DF766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FE5800"/>
    <w:multiLevelType w:val="multilevel"/>
    <w:tmpl w:val="86A6F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6D7B04"/>
    <w:multiLevelType w:val="hybridMultilevel"/>
    <w:tmpl w:val="11C8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B2A04"/>
    <w:multiLevelType w:val="hybridMultilevel"/>
    <w:tmpl w:val="0ABE8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500F26"/>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A6C189D"/>
    <w:multiLevelType w:val="multilevel"/>
    <w:tmpl w:val="F09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4A14B4"/>
    <w:multiLevelType w:val="multilevel"/>
    <w:tmpl w:val="EC7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A5615A1"/>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47410678">
    <w:abstractNumId w:val="3"/>
  </w:num>
  <w:num w:numId="2" w16cid:durableId="751124873">
    <w:abstractNumId w:val="2"/>
  </w:num>
  <w:num w:numId="3" w16cid:durableId="1811092354">
    <w:abstractNumId w:val="7"/>
  </w:num>
  <w:num w:numId="4" w16cid:durableId="1485851645">
    <w:abstractNumId w:val="9"/>
    <w:lvlOverride w:ilvl="0">
      <w:startOverride w:val="1"/>
    </w:lvlOverride>
  </w:num>
  <w:num w:numId="5" w16cid:durableId="354422876">
    <w:abstractNumId w:val="1"/>
    <w:lvlOverride w:ilvl="0">
      <w:startOverride w:val="3"/>
    </w:lvlOverride>
  </w:num>
  <w:num w:numId="6" w16cid:durableId="1728799836">
    <w:abstractNumId w:val="8"/>
    <w:lvlOverride w:ilvl="0">
      <w:startOverride w:val="4"/>
    </w:lvlOverride>
  </w:num>
  <w:num w:numId="7" w16cid:durableId="506555369">
    <w:abstractNumId w:val="0"/>
    <w:lvlOverride w:ilvl="0">
      <w:startOverride w:val="1"/>
    </w:lvlOverride>
  </w:num>
  <w:num w:numId="8" w16cid:durableId="1768842776">
    <w:abstractNumId w:val="6"/>
  </w:num>
  <w:num w:numId="9" w16cid:durableId="238947573">
    <w:abstractNumId w:val="5"/>
  </w:num>
  <w:num w:numId="10" w16cid:durableId="347102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E"/>
    <w:rsid w:val="0000153B"/>
    <w:rsid w:val="00024100"/>
    <w:rsid w:val="00040A22"/>
    <w:rsid w:val="00041781"/>
    <w:rsid w:val="000478E9"/>
    <w:rsid w:val="00060EFD"/>
    <w:rsid w:val="0006651C"/>
    <w:rsid w:val="00066B24"/>
    <w:rsid w:val="0007230C"/>
    <w:rsid w:val="00073D20"/>
    <w:rsid w:val="00086620"/>
    <w:rsid w:val="00092622"/>
    <w:rsid w:val="00095EAE"/>
    <w:rsid w:val="000A09BE"/>
    <w:rsid w:val="000C334F"/>
    <w:rsid w:val="000D1F0C"/>
    <w:rsid w:val="000D2A4E"/>
    <w:rsid w:val="000E2272"/>
    <w:rsid w:val="000F0557"/>
    <w:rsid w:val="00102781"/>
    <w:rsid w:val="001034AF"/>
    <w:rsid w:val="001053FF"/>
    <w:rsid w:val="0011075F"/>
    <w:rsid w:val="00112184"/>
    <w:rsid w:val="00112C87"/>
    <w:rsid w:val="00115B6D"/>
    <w:rsid w:val="001205A5"/>
    <w:rsid w:val="001205DC"/>
    <w:rsid w:val="0012220C"/>
    <w:rsid w:val="00127210"/>
    <w:rsid w:val="00131968"/>
    <w:rsid w:val="00136562"/>
    <w:rsid w:val="00146F54"/>
    <w:rsid w:val="0015055E"/>
    <w:rsid w:val="00153AC1"/>
    <w:rsid w:val="001613CF"/>
    <w:rsid w:val="00164821"/>
    <w:rsid w:val="001829D0"/>
    <w:rsid w:val="001857AE"/>
    <w:rsid w:val="0018642A"/>
    <w:rsid w:val="00193B33"/>
    <w:rsid w:val="001A1DDD"/>
    <w:rsid w:val="001A1E24"/>
    <w:rsid w:val="001A4BEB"/>
    <w:rsid w:val="001A58AC"/>
    <w:rsid w:val="001A7691"/>
    <w:rsid w:val="001B4E2C"/>
    <w:rsid w:val="001C0157"/>
    <w:rsid w:val="001C4D05"/>
    <w:rsid w:val="001D5E39"/>
    <w:rsid w:val="001E1066"/>
    <w:rsid w:val="001E44B1"/>
    <w:rsid w:val="001E696A"/>
    <w:rsid w:val="001F546A"/>
    <w:rsid w:val="00202123"/>
    <w:rsid w:val="0020241C"/>
    <w:rsid w:val="00203B39"/>
    <w:rsid w:val="0020631A"/>
    <w:rsid w:val="00206D86"/>
    <w:rsid w:val="00220465"/>
    <w:rsid w:val="00220E34"/>
    <w:rsid w:val="0022350F"/>
    <w:rsid w:val="00226E2F"/>
    <w:rsid w:val="00227EA4"/>
    <w:rsid w:val="00234250"/>
    <w:rsid w:val="0023479E"/>
    <w:rsid w:val="00234DE3"/>
    <w:rsid w:val="00237752"/>
    <w:rsid w:val="00246C81"/>
    <w:rsid w:val="002475EF"/>
    <w:rsid w:val="00253213"/>
    <w:rsid w:val="002534E5"/>
    <w:rsid w:val="0025509A"/>
    <w:rsid w:val="002572FE"/>
    <w:rsid w:val="002632B5"/>
    <w:rsid w:val="002645D7"/>
    <w:rsid w:val="00274216"/>
    <w:rsid w:val="002809B9"/>
    <w:rsid w:val="0028307A"/>
    <w:rsid w:val="002844C2"/>
    <w:rsid w:val="00290226"/>
    <w:rsid w:val="00290253"/>
    <w:rsid w:val="00290ED7"/>
    <w:rsid w:val="0029449C"/>
    <w:rsid w:val="002A2183"/>
    <w:rsid w:val="002C0FDA"/>
    <w:rsid w:val="002C3576"/>
    <w:rsid w:val="002C3658"/>
    <w:rsid w:val="002C7DF6"/>
    <w:rsid w:val="002D1DC9"/>
    <w:rsid w:val="002E5568"/>
    <w:rsid w:val="002F49C1"/>
    <w:rsid w:val="00310730"/>
    <w:rsid w:val="0031331E"/>
    <w:rsid w:val="00313C77"/>
    <w:rsid w:val="00322CA2"/>
    <w:rsid w:val="003279C4"/>
    <w:rsid w:val="00330533"/>
    <w:rsid w:val="003355D7"/>
    <w:rsid w:val="00356790"/>
    <w:rsid w:val="0036207B"/>
    <w:rsid w:val="00364271"/>
    <w:rsid w:val="00384942"/>
    <w:rsid w:val="00395C10"/>
    <w:rsid w:val="003975EA"/>
    <w:rsid w:val="00397B00"/>
    <w:rsid w:val="003A53A7"/>
    <w:rsid w:val="003B3AB5"/>
    <w:rsid w:val="003B6F94"/>
    <w:rsid w:val="003C0065"/>
    <w:rsid w:val="003C3C35"/>
    <w:rsid w:val="003D078A"/>
    <w:rsid w:val="003E2154"/>
    <w:rsid w:val="003E7FC5"/>
    <w:rsid w:val="003F0A3C"/>
    <w:rsid w:val="003F3B91"/>
    <w:rsid w:val="003F5F08"/>
    <w:rsid w:val="003F7D3A"/>
    <w:rsid w:val="00402B82"/>
    <w:rsid w:val="00420CC0"/>
    <w:rsid w:val="00422D31"/>
    <w:rsid w:val="00425814"/>
    <w:rsid w:val="00425FDE"/>
    <w:rsid w:val="00427A5E"/>
    <w:rsid w:val="00434FED"/>
    <w:rsid w:val="00437E4A"/>
    <w:rsid w:val="00446BE1"/>
    <w:rsid w:val="004474E6"/>
    <w:rsid w:val="0045027D"/>
    <w:rsid w:val="004534C4"/>
    <w:rsid w:val="00454219"/>
    <w:rsid w:val="00461EE9"/>
    <w:rsid w:val="00463E1E"/>
    <w:rsid w:val="00475E86"/>
    <w:rsid w:val="00477E0E"/>
    <w:rsid w:val="00480CF3"/>
    <w:rsid w:val="00491006"/>
    <w:rsid w:val="00491648"/>
    <w:rsid w:val="0049190C"/>
    <w:rsid w:val="0049417E"/>
    <w:rsid w:val="004A13EF"/>
    <w:rsid w:val="004A39D1"/>
    <w:rsid w:val="004A46BA"/>
    <w:rsid w:val="004A5926"/>
    <w:rsid w:val="004B18B1"/>
    <w:rsid w:val="004B57FE"/>
    <w:rsid w:val="004C04FE"/>
    <w:rsid w:val="004D1612"/>
    <w:rsid w:val="004D3F5D"/>
    <w:rsid w:val="004E39EF"/>
    <w:rsid w:val="004E6E43"/>
    <w:rsid w:val="004F0CD5"/>
    <w:rsid w:val="00510279"/>
    <w:rsid w:val="0051445F"/>
    <w:rsid w:val="00515ED4"/>
    <w:rsid w:val="00516304"/>
    <w:rsid w:val="005172A3"/>
    <w:rsid w:val="00525490"/>
    <w:rsid w:val="00532C6D"/>
    <w:rsid w:val="00535141"/>
    <w:rsid w:val="00542100"/>
    <w:rsid w:val="0054699F"/>
    <w:rsid w:val="00550988"/>
    <w:rsid w:val="00551705"/>
    <w:rsid w:val="005530B9"/>
    <w:rsid w:val="00583EB2"/>
    <w:rsid w:val="00584C0A"/>
    <w:rsid w:val="00594EF8"/>
    <w:rsid w:val="0059525D"/>
    <w:rsid w:val="005959AE"/>
    <w:rsid w:val="00597911"/>
    <w:rsid w:val="005A4121"/>
    <w:rsid w:val="005B6823"/>
    <w:rsid w:val="005C3EFC"/>
    <w:rsid w:val="005C59C0"/>
    <w:rsid w:val="005C66AB"/>
    <w:rsid w:val="005C6D93"/>
    <w:rsid w:val="005C7690"/>
    <w:rsid w:val="005D5CC8"/>
    <w:rsid w:val="005E533C"/>
    <w:rsid w:val="005E6344"/>
    <w:rsid w:val="005F5B45"/>
    <w:rsid w:val="005F7B61"/>
    <w:rsid w:val="00603EAD"/>
    <w:rsid w:val="006063CC"/>
    <w:rsid w:val="0061130B"/>
    <w:rsid w:val="00614360"/>
    <w:rsid w:val="00616780"/>
    <w:rsid w:val="006173EE"/>
    <w:rsid w:val="00617945"/>
    <w:rsid w:val="006205D0"/>
    <w:rsid w:val="00621AF2"/>
    <w:rsid w:val="00626CD8"/>
    <w:rsid w:val="0063495B"/>
    <w:rsid w:val="00637E6E"/>
    <w:rsid w:val="0064185F"/>
    <w:rsid w:val="00645667"/>
    <w:rsid w:val="00653864"/>
    <w:rsid w:val="00655FF5"/>
    <w:rsid w:val="00660F83"/>
    <w:rsid w:val="006731D2"/>
    <w:rsid w:val="006B1480"/>
    <w:rsid w:val="006C0654"/>
    <w:rsid w:val="006C7D80"/>
    <w:rsid w:val="006D2F4F"/>
    <w:rsid w:val="006D3FB7"/>
    <w:rsid w:val="006D44AD"/>
    <w:rsid w:val="006D5263"/>
    <w:rsid w:val="006D6176"/>
    <w:rsid w:val="006E08A4"/>
    <w:rsid w:val="006E4DFF"/>
    <w:rsid w:val="006E7860"/>
    <w:rsid w:val="006F2A4B"/>
    <w:rsid w:val="006F5679"/>
    <w:rsid w:val="006F5E02"/>
    <w:rsid w:val="00700946"/>
    <w:rsid w:val="00701F46"/>
    <w:rsid w:val="0070510D"/>
    <w:rsid w:val="00732A88"/>
    <w:rsid w:val="0074382E"/>
    <w:rsid w:val="007446F8"/>
    <w:rsid w:val="00747D34"/>
    <w:rsid w:val="007500F2"/>
    <w:rsid w:val="00751AEB"/>
    <w:rsid w:val="00766029"/>
    <w:rsid w:val="00772210"/>
    <w:rsid w:val="00772511"/>
    <w:rsid w:val="00773857"/>
    <w:rsid w:val="00774235"/>
    <w:rsid w:val="00780508"/>
    <w:rsid w:val="0078363C"/>
    <w:rsid w:val="00783C67"/>
    <w:rsid w:val="007851FD"/>
    <w:rsid w:val="00785C4A"/>
    <w:rsid w:val="00796A3A"/>
    <w:rsid w:val="007A2589"/>
    <w:rsid w:val="007A6176"/>
    <w:rsid w:val="007A6226"/>
    <w:rsid w:val="007A6A9D"/>
    <w:rsid w:val="007B5396"/>
    <w:rsid w:val="007B7E49"/>
    <w:rsid w:val="007B7E72"/>
    <w:rsid w:val="007C04FC"/>
    <w:rsid w:val="007C0ED7"/>
    <w:rsid w:val="007C2A16"/>
    <w:rsid w:val="007C2F19"/>
    <w:rsid w:val="007C5CDD"/>
    <w:rsid w:val="007D1DE6"/>
    <w:rsid w:val="007E2415"/>
    <w:rsid w:val="007E2978"/>
    <w:rsid w:val="007E6302"/>
    <w:rsid w:val="00810A73"/>
    <w:rsid w:val="008143EA"/>
    <w:rsid w:val="0081464E"/>
    <w:rsid w:val="00825ED0"/>
    <w:rsid w:val="0083297A"/>
    <w:rsid w:val="0083301B"/>
    <w:rsid w:val="00834609"/>
    <w:rsid w:val="00834B12"/>
    <w:rsid w:val="00834C5D"/>
    <w:rsid w:val="00841F52"/>
    <w:rsid w:val="008435DE"/>
    <w:rsid w:val="00846AF8"/>
    <w:rsid w:val="008656E8"/>
    <w:rsid w:val="008746A3"/>
    <w:rsid w:val="00877F9C"/>
    <w:rsid w:val="00881826"/>
    <w:rsid w:val="00883A65"/>
    <w:rsid w:val="00883E9B"/>
    <w:rsid w:val="00884BDA"/>
    <w:rsid w:val="008917F1"/>
    <w:rsid w:val="00895E19"/>
    <w:rsid w:val="008A4C84"/>
    <w:rsid w:val="008C18C6"/>
    <w:rsid w:val="008C3B4B"/>
    <w:rsid w:val="008C77D6"/>
    <w:rsid w:val="008C78B8"/>
    <w:rsid w:val="008D2FBE"/>
    <w:rsid w:val="008D75B6"/>
    <w:rsid w:val="008F569B"/>
    <w:rsid w:val="00900F77"/>
    <w:rsid w:val="00903291"/>
    <w:rsid w:val="00905307"/>
    <w:rsid w:val="0090595F"/>
    <w:rsid w:val="00914427"/>
    <w:rsid w:val="00925150"/>
    <w:rsid w:val="0094190A"/>
    <w:rsid w:val="0094208E"/>
    <w:rsid w:val="00943A62"/>
    <w:rsid w:val="009505B0"/>
    <w:rsid w:val="00961CA1"/>
    <w:rsid w:val="00967F93"/>
    <w:rsid w:val="009734A9"/>
    <w:rsid w:val="00982614"/>
    <w:rsid w:val="0098611A"/>
    <w:rsid w:val="009875BC"/>
    <w:rsid w:val="0099255A"/>
    <w:rsid w:val="00993A47"/>
    <w:rsid w:val="00994847"/>
    <w:rsid w:val="009948B9"/>
    <w:rsid w:val="009A18A7"/>
    <w:rsid w:val="009A5016"/>
    <w:rsid w:val="009A5BD5"/>
    <w:rsid w:val="009A6815"/>
    <w:rsid w:val="009A7C3E"/>
    <w:rsid w:val="009B33C2"/>
    <w:rsid w:val="009B43E5"/>
    <w:rsid w:val="009B7481"/>
    <w:rsid w:val="009C0C00"/>
    <w:rsid w:val="009C1299"/>
    <w:rsid w:val="009D27E4"/>
    <w:rsid w:val="009D2930"/>
    <w:rsid w:val="009D6C82"/>
    <w:rsid w:val="009E01F6"/>
    <w:rsid w:val="009E5908"/>
    <w:rsid w:val="009F087F"/>
    <w:rsid w:val="009F089C"/>
    <w:rsid w:val="009F565A"/>
    <w:rsid w:val="009F7095"/>
    <w:rsid w:val="00A0134A"/>
    <w:rsid w:val="00A11C8C"/>
    <w:rsid w:val="00A133FE"/>
    <w:rsid w:val="00A1543C"/>
    <w:rsid w:val="00A15B1E"/>
    <w:rsid w:val="00A201C6"/>
    <w:rsid w:val="00A21571"/>
    <w:rsid w:val="00A225BB"/>
    <w:rsid w:val="00A25506"/>
    <w:rsid w:val="00A26CCD"/>
    <w:rsid w:val="00A3023A"/>
    <w:rsid w:val="00A3560D"/>
    <w:rsid w:val="00A375E6"/>
    <w:rsid w:val="00A41934"/>
    <w:rsid w:val="00A41CF6"/>
    <w:rsid w:val="00A42B7D"/>
    <w:rsid w:val="00A43DCE"/>
    <w:rsid w:val="00A47E79"/>
    <w:rsid w:val="00A535BB"/>
    <w:rsid w:val="00A648B3"/>
    <w:rsid w:val="00A6715D"/>
    <w:rsid w:val="00A73118"/>
    <w:rsid w:val="00A76920"/>
    <w:rsid w:val="00A87091"/>
    <w:rsid w:val="00A92571"/>
    <w:rsid w:val="00A9717B"/>
    <w:rsid w:val="00AA1B46"/>
    <w:rsid w:val="00AA6E50"/>
    <w:rsid w:val="00AB39AC"/>
    <w:rsid w:val="00AB5180"/>
    <w:rsid w:val="00AC6A7E"/>
    <w:rsid w:val="00AD2E6A"/>
    <w:rsid w:val="00AD45D7"/>
    <w:rsid w:val="00AD7B30"/>
    <w:rsid w:val="00AE6DB6"/>
    <w:rsid w:val="00AF4E1D"/>
    <w:rsid w:val="00AF540C"/>
    <w:rsid w:val="00AF5DF1"/>
    <w:rsid w:val="00B06022"/>
    <w:rsid w:val="00B10F89"/>
    <w:rsid w:val="00B12061"/>
    <w:rsid w:val="00B12C3D"/>
    <w:rsid w:val="00B133CC"/>
    <w:rsid w:val="00B13BCF"/>
    <w:rsid w:val="00B24268"/>
    <w:rsid w:val="00B25ED9"/>
    <w:rsid w:val="00B263DA"/>
    <w:rsid w:val="00B27D0E"/>
    <w:rsid w:val="00B30B2E"/>
    <w:rsid w:val="00B32539"/>
    <w:rsid w:val="00B42A66"/>
    <w:rsid w:val="00B43172"/>
    <w:rsid w:val="00B500ED"/>
    <w:rsid w:val="00B5076A"/>
    <w:rsid w:val="00B523E6"/>
    <w:rsid w:val="00B528FA"/>
    <w:rsid w:val="00B605C1"/>
    <w:rsid w:val="00B625AA"/>
    <w:rsid w:val="00B642A9"/>
    <w:rsid w:val="00B73CA8"/>
    <w:rsid w:val="00B819B6"/>
    <w:rsid w:val="00B832A0"/>
    <w:rsid w:val="00B843E9"/>
    <w:rsid w:val="00B855DA"/>
    <w:rsid w:val="00BA4731"/>
    <w:rsid w:val="00BA5DA3"/>
    <w:rsid w:val="00BD6C6B"/>
    <w:rsid w:val="00BE018C"/>
    <w:rsid w:val="00BE1743"/>
    <w:rsid w:val="00BE1760"/>
    <w:rsid w:val="00BE6B2A"/>
    <w:rsid w:val="00BE709B"/>
    <w:rsid w:val="00BE779B"/>
    <w:rsid w:val="00BF4C6E"/>
    <w:rsid w:val="00C01208"/>
    <w:rsid w:val="00C0189E"/>
    <w:rsid w:val="00C02105"/>
    <w:rsid w:val="00C033C1"/>
    <w:rsid w:val="00C07689"/>
    <w:rsid w:val="00C16A34"/>
    <w:rsid w:val="00C20B27"/>
    <w:rsid w:val="00C22EA8"/>
    <w:rsid w:val="00C31A7B"/>
    <w:rsid w:val="00C3310D"/>
    <w:rsid w:val="00C352AE"/>
    <w:rsid w:val="00C42655"/>
    <w:rsid w:val="00C44693"/>
    <w:rsid w:val="00C52E8F"/>
    <w:rsid w:val="00C548CF"/>
    <w:rsid w:val="00C57E7A"/>
    <w:rsid w:val="00C65298"/>
    <w:rsid w:val="00C703A0"/>
    <w:rsid w:val="00C7348C"/>
    <w:rsid w:val="00C73A30"/>
    <w:rsid w:val="00C74A21"/>
    <w:rsid w:val="00C75465"/>
    <w:rsid w:val="00C77F20"/>
    <w:rsid w:val="00C83EAC"/>
    <w:rsid w:val="00C87DE9"/>
    <w:rsid w:val="00C949C8"/>
    <w:rsid w:val="00CA108C"/>
    <w:rsid w:val="00CA383D"/>
    <w:rsid w:val="00CA3C41"/>
    <w:rsid w:val="00CB3A7E"/>
    <w:rsid w:val="00CB5EFB"/>
    <w:rsid w:val="00CB7C9A"/>
    <w:rsid w:val="00CC4455"/>
    <w:rsid w:val="00CC7054"/>
    <w:rsid w:val="00CD0207"/>
    <w:rsid w:val="00CD0465"/>
    <w:rsid w:val="00CD501B"/>
    <w:rsid w:val="00CE7E8C"/>
    <w:rsid w:val="00CF2849"/>
    <w:rsid w:val="00CF5BD2"/>
    <w:rsid w:val="00D03D77"/>
    <w:rsid w:val="00D14C8C"/>
    <w:rsid w:val="00D16B7E"/>
    <w:rsid w:val="00D209F7"/>
    <w:rsid w:val="00D26698"/>
    <w:rsid w:val="00D3113F"/>
    <w:rsid w:val="00D40E3B"/>
    <w:rsid w:val="00D40EA2"/>
    <w:rsid w:val="00D43B1D"/>
    <w:rsid w:val="00D43B3C"/>
    <w:rsid w:val="00D453F8"/>
    <w:rsid w:val="00D5299B"/>
    <w:rsid w:val="00D540AA"/>
    <w:rsid w:val="00D5494C"/>
    <w:rsid w:val="00D564DB"/>
    <w:rsid w:val="00D5667B"/>
    <w:rsid w:val="00D56C3B"/>
    <w:rsid w:val="00D602A2"/>
    <w:rsid w:val="00D610A6"/>
    <w:rsid w:val="00D6288E"/>
    <w:rsid w:val="00D67F95"/>
    <w:rsid w:val="00D709C4"/>
    <w:rsid w:val="00D75557"/>
    <w:rsid w:val="00D766E1"/>
    <w:rsid w:val="00D8034B"/>
    <w:rsid w:val="00D816F9"/>
    <w:rsid w:val="00D82BAC"/>
    <w:rsid w:val="00D83A3C"/>
    <w:rsid w:val="00D904EA"/>
    <w:rsid w:val="00D9069D"/>
    <w:rsid w:val="00DA07DD"/>
    <w:rsid w:val="00DA3DF8"/>
    <w:rsid w:val="00DA51C2"/>
    <w:rsid w:val="00DB4940"/>
    <w:rsid w:val="00DB592D"/>
    <w:rsid w:val="00DD275F"/>
    <w:rsid w:val="00DD2AC2"/>
    <w:rsid w:val="00DD5AFB"/>
    <w:rsid w:val="00DD7262"/>
    <w:rsid w:val="00E04D61"/>
    <w:rsid w:val="00E05808"/>
    <w:rsid w:val="00E20818"/>
    <w:rsid w:val="00E232B7"/>
    <w:rsid w:val="00E270E4"/>
    <w:rsid w:val="00E47207"/>
    <w:rsid w:val="00E4755D"/>
    <w:rsid w:val="00E506B1"/>
    <w:rsid w:val="00E52EF3"/>
    <w:rsid w:val="00E543AB"/>
    <w:rsid w:val="00E56C77"/>
    <w:rsid w:val="00E56D01"/>
    <w:rsid w:val="00E56D8E"/>
    <w:rsid w:val="00E62552"/>
    <w:rsid w:val="00E70D8E"/>
    <w:rsid w:val="00E738F6"/>
    <w:rsid w:val="00E739D9"/>
    <w:rsid w:val="00E7641F"/>
    <w:rsid w:val="00E8791C"/>
    <w:rsid w:val="00E90597"/>
    <w:rsid w:val="00E94C9A"/>
    <w:rsid w:val="00EA2E54"/>
    <w:rsid w:val="00EA4894"/>
    <w:rsid w:val="00EB0411"/>
    <w:rsid w:val="00EB1E59"/>
    <w:rsid w:val="00EB4730"/>
    <w:rsid w:val="00EB4FF1"/>
    <w:rsid w:val="00EC7581"/>
    <w:rsid w:val="00ED3FBA"/>
    <w:rsid w:val="00ED5144"/>
    <w:rsid w:val="00ED7664"/>
    <w:rsid w:val="00EE0AC5"/>
    <w:rsid w:val="00EE72AC"/>
    <w:rsid w:val="00EF0BA6"/>
    <w:rsid w:val="00EF4AA9"/>
    <w:rsid w:val="00F00FDE"/>
    <w:rsid w:val="00F02512"/>
    <w:rsid w:val="00F0275C"/>
    <w:rsid w:val="00F0484E"/>
    <w:rsid w:val="00F1322E"/>
    <w:rsid w:val="00F149CF"/>
    <w:rsid w:val="00F167F0"/>
    <w:rsid w:val="00F17438"/>
    <w:rsid w:val="00F22E41"/>
    <w:rsid w:val="00F25925"/>
    <w:rsid w:val="00F3476F"/>
    <w:rsid w:val="00F34C8A"/>
    <w:rsid w:val="00F35C8D"/>
    <w:rsid w:val="00F37382"/>
    <w:rsid w:val="00F37761"/>
    <w:rsid w:val="00F37D0B"/>
    <w:rsid w:val="00F41057"/>
    <w:rsid w:val="00F448B4"/>
    <w:rsid w:val="00F46B1A"/>
    <w:rsid w:val="00F64091"/>
    <w:rsid w:val="00F722D3"/>
    <w:rsid w:val="00F7537D"/>
    <w:rsid w:val="00F764D2"/>
    <w:rsid w:val="00F81C22"/>
    <w:rsid w:val="00F8574C"/>
    <w:rsid w:val="00F94FF0"/>
    <w:rsid w:val="00F95BF3"/>
    <w:rsid w:val="00F973C9"/>
    <w:rsid w:val="00FA13F7"/>
    <w:rsid w:val="00FA4674"/>
    <w:rsid w:val="00FA6217"/>
    <w:rsid w:val="00FA66D9"/>
    <w:rsid w:val="00FB2696"/>
    <w:rsid w:val="00FC3B4F"/>
    <w:rsid w:val="00FC472B"/>
    <w:rsid w:val="00FD067B"/>
    <w:rsid w:val="00FD5055"/>
    <w:rsid w:val="00FD57BB"/>
    <w:rsid w:val="00FD6DF4"/>
    <w:rsid w:val="00FE19E0"/>
    <w:rsid w:val="00FE3971"/>
    <w:rsid w:val="00FE664C"/>
    <w:rsid w:val="00FF39C8"/>
    <w:rsid w:val="00FF45B6"/>
    <w:rsid w:val="018A8988"/>
    <w:rsid w:val="01C0B053"/>
    <w:rsid w:val="032EBDA6"/>
    <w:rsid w:val="0405ED86"/>
    <w:rsid w:val="04738748"/>
    <w:rsid w:val="05E0E6FC"/>
    <w:rsid w:val="063AEDA8"/>
    <w:rsid w:val="064B3231"/>
    <w:rsid w:val="072135B9"/>
    <w:rsid w:val="073F9CFD"/>
    <w:rsid w:val="076EB65F"/>
    <w:rsid w:val="07A23B18"/>
    <w:rsid w:val="07B1E861"/>
    <w:rsid w:val="08A189AE"/>
    <w:rsid w:val="098D6E79"/>
    <w:rsid w:val="0A25CEA0"/>
    <w:rsid w:val="0B173595"/>
    <w:rsid w:val="0B408647"/>
    <w:rsid w:val="0B7E2850"/>
    <w:rsid w:val="0BAFCF78"/>
    <w:rsid w:val="0C68E860"/>
    <w:rsid w:val="0C89E757"/>
    <w:rsid w:val="0CFE354C"/>
    <w:rsid w:val="0E8FC8E0"/>
    <w:rsid w:val="10252FC9"/>
    <w:rsid w:val="1114CF8E"/>
    <w:rsid w:val="1183C7E5"/>
    <w:rsid w:val="120DEF26"/>
    <w:rsid w:val="143A7E46"/>
    <w:rsid w:val="156C928E"/>
    <w:rsid w:val="1576D0F3"/>
    <w:rsid w:val="15C0B54F"/>
    <w:rsid w:val="16771C03"/>
    <w:rsid w:val="17454323"/>
    <w:rsid w:val="1BA4C2FD"/>
    <w:rsid w:val="1C692929"/>
    <w:rsid w:val="1C7E0254"/>
    <w:rsid w:val="1CC03374"/>
    <w:rsid w:val="1D9DF2C4"/>
    <w:rsid w:val="1F2D4017"/>
    <w:rsid w:val="1FCC3ACF"/>
    <w:rsid w:val="1FFDC752"/>
    <w:rsid w:val="201B7C6E"/>
    <w:rsid w:val="2094B522"/>
    <w:rsid w:val="22223859"/>
    <w:rsid w:val="224C9457"/>
    <w:rsid w:val="229B28AA"/>
    <w:rsid w:val="23EC4913"/>
    <w:rsid w:val="243A4805"/>
    <w:rsid w:val="24B0735A"/>
    <w:rsid w:val="24DDD58E"/>
    <w:rsid w:val="250AA360"/>
    <w:rsid w:val="2578F37A"/>
    <w:rsid w:val="25F859F1"/>
    <w:rsid w:val="25F9742F"/>
    <w:rsid w:val="270BA360"/>
    <w:rsid w:val="275BAC85"/>
    <w:rsid w:val="276F52B5"/>
    <w:rsid w:val="2785D5D4"/>
    <w:rsid w:val="281FB38D"/>
    <w:rsid w:val="28CC245D"/>
    <w:rsid w:val="298D09D9"/>
    <w:rsid w:val="29E33B27"/>
    <w:rsid w:val="2A4AD7B1"/>
    <w:rsid w:val="2A6E70C6"/>
    <w:rsid w:val="2B1D2E7B"/>
    <w:rsid w:val="2B2AD75D"/>
    <w:rsid w:val="2C19B89E"/>
    <w:rsid w:val="2CFB11C4"/>
    <w:rsid w:val="2DA11377"/>
    <w:rsid w:val="2DBB6B83"/>
    <w:rsid w:val="2DD73ECF"/>
    <w:rsid w:val="2E5E9976"/>
    <w:rsid w:val="30DB6559"/>
    <w:rsid w:val="30ED942B"/>
    <w:rsid w:val="328B30DD"/>
    <w:rsid w:val="3293C247"/>
    <w:rsid w:val="32A6C117"/>
    <w:rsid w:val="32C5C2F1"/>
    <w:rsid w:val="330FAE7F"/>
    <w:rsid w:val="33A7B52F"/>
    <w:rsid w:val="34F21E56"/>
    <w:rsid w:val="3629B61F"/>
    <w:rsid w:val="3669A223"/>
    <w:rsid w:val="38903279"/>
    <w:rsid w:val="38E60D2A"/>
    <w:rsid w:val="395FE118"/>
    <w:rsid w:val="3A2C4086"/>
    <w:rsid w:val="3A729D9C"/>
    <w:rsid w:val="3C1817D1"/>
    <w:rsid w:val="3C25DA8C"/>
    <w:rsid w:val="3CE21086"/>
    <w:rsid w:val="3CE72C5C"/>
    <w:rsid w:val="3CE8003D"/>
    <w:rsid w:val="3D2C5891"/>
    <w:rsid w:val="3D61A663"/>
    <w:rsid w:val="3DB8AE8D"/>
    <w:rsid w:val="3EC9A289"/>
    <w:rsid w:val="3F87141D"/>
    <w:rsid w:val="3F9F2BF0"/>
    <w:rsid w:val="40519A61"/>
    <w:rsid w:val="40702A75"/>
    <w:rsid w:val="4088B6A7"/>
    <w:rsid w:val="414C49C8"/>
    <w:rsid w:val="4427B630"/>
    <w:rsid w:val="44455350"/>
    <w:rsid w:val="446EAF6B"/>
    <w:rsid w:val="44D41F5E"/>
    <w:rsid w:val="457FD475"/>
    <w:rsid w:val="45CA6717"/>
    <w:rsid w:val="462DD02D"/>
    <w:rsid w:val="468F2B1B"/>
    <w:rsid w:val="469F76D0"/>
    <w:rsid w:val="47BF6962"/>
    <w:rsid w:val="47D9F234"/>
    <w:rsid w:val="4914C921"/>
    <w:rsid w:val="4AD17174"/>
    <w:rsid w:val="4B9DF6AC"/>
    <w:rsid w:val="4BA1F253"/>
    <w:rsid w:val="4C6A0129"/>
    <w:rsid w:val="4D69E538"/>
    <w:rsid w:val="4E090726"/>
    <w:rsid w:val="50320B33"/>
    <w:rsid w:val="527D0BBC"/>
    <w:rsid w:val="5390E43D"/>
    <w:rsid w:val="54D106CF"/>
    <w:rsid w:val="550CD764"/>
    <w:rsid w:val="578AB577"/>
    <w:rsid w:val="57C03892"/>
    <w:rsid w:val="580BA766"/>
    <w:rsid w:val="582796CC"/>
    <w:rsid w:val="588643B0"/>
    <w:rsid w:val="5921BCD7"/>
    <w:rsid w:val="5B8D6A71"/>
    <w:rsid w:val="5BFDFE24"/>
    <w:rsid w:val="5D78D5CF"/>
    <w:rsid w:val="5DA38708"/>
    <w:rsid w:val="5DB11F19"/>
    <w:rsid w:val="5DEEED6E"/>
    <w:rsid w:val="5E4DE397"/>
    <w:rsid w:val="5E7C143E"/>
    <w:rsid w:val="5EDFDB20"/>
    <w:rsid w:val="5FCD2358"/>
    <w:rsid w:val="60205D23"/>
    <w:rsid w:val="60509B27"/>
    <w:rsid w:val="60680B66"/>
    <w:rsid w:val="60E91D79"/>
    <w:rsid w:val="61415729"/>
    <w:rsid w:val="622F53E8"/>
    <w:rsid w:val="62969923"/>
    <w:rsid w:val="62D372A9"/>
    <w:rsid w:val="62FBE26E"/>
    <w:rsid w:val="6310BF22"/>
    <w:rsid w:val="63AFC611"/>
    <w:rsid w:val="648682BC"/>
    <w:rsid w:val="64DAB639"/>
    <w:rsid w:val="64EE30BB"/>
    <w:rsid w:val="666C3D93"/>
    <w:rsid w:val="66FAB7B3"/>
    <w:rsid w:val="685122E1"/>
    <w:rsid w:val="68C68383"/>
    <w:rsid w:val="697F21C3"/>
    <w:rsid w:val="6BE60A90"/>
    <w:rsid w:val="6C068573"/>
    <w:rsid w:val="6C18C512"/>
    <w:rsid w:val="6CEC9FB0"/>
    <w:rsid w:val="6E3187B0"/>
    <w:rsid w:val="6E3F4BC0"/>
    <w:rsid w:val="6FA8D649"/>
    <w:rsid w:val="702D6796"/>
    <w:rsid w:val="716AC35C"/>
    <w:rsid w:val="72C686AF"/>
    <w:rsid w:val="73F1FF79"/>
    <w:rsid w:val="743747D0"/>
    <w:rsid w:val="75DF68BF"/>
    <w:rsid w:val="76FD3177"/>
    <w:rsid w:val="7707EA77"/>
    <w:rsid w:val="782365A2"/>
    <w:rsid w:val="78238558"/>
    <w:rsid w:val="7827E533"/>
    <w:rsid w:val="787C3DA2"/>
    <w:rsid w:val="78EC8ED1"/>
    <w:rsid w:val="78FF9919"/>
    <w:rsid w:val="790101BB"/>
    <w:rsid w:val="793DAF56"/>
    <w:rsid w:val="7A41EA7D"/>
    <w:rsid w:val="7A49C1B3"/>
    <w:rsid w:val="7AF1F4A5"/>
    <w:rsid w:val="7AF87951"/>
    <w:rsid w:val="7CADB2E2"/>
    <w:rsid w:val="7CBF19A7"/>
    <w:rsid w:val="7E166815"/>
    <w:rsid w:val="7EE9068E"/>
    <w:rsid w:val="7F55F0D8"/>
    <w:rsid w:val="7FF7C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340"/>
  <w15:chartTrackingRefBased/>
  <w15:docId w15:val="{B0222E20-E067-4645-BF96-5B6821F8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D0E"/>
    <w:rPr>
      <w:rFonts w:eastAsiaTheme="majorEastAsia" w:cstheme="majorBidi"/>
      <w:color w:val="272727" w:themeColor="text1" w:themeTint="D8"/>
    </w:rPr>
  </w:style>
  <w:style w:type="paragraph" w:styleId="Title">
    <w:name w:val="Title"/>
    <w:basedOn w:val="Normal"/>
    <w:next w:val="Normal"/>
    <w:link w:val="TitleChar"/>
    <w:uiPriority w:val="10"/>
    <w:qFormat/>
    <w:rsid w:val="00B27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D0E"/>
    <w:pPr>
      <w:spacing w:before="160"/>
      <w:jc w:val="center"/>
    </w:pPr>
    <w:rPr>
      <w:i/>
      <w:iCs/>
      <w:color w:val="404040" w:themeColor="text1" w:themeTint="BF"/>
    </w:rPr>
  </w:style>
  <w:style w:type="character" w:customStyle="1" w:styleId="QuoteChar">
    <w:name w:val="Quote Char"/>
    <w:basedOn w:val="DefaultParagraphFont"/>
    <w:link w:val="Quote"/>
    <w:uiPriority w:val="29"/>
    <w:rsid w:val="00B27D0E"/>
    <w:rPr>
      <w:i/>
      <w:iCs/>
      <w:color w:val="404040" w:themeColor="text1" w:themeTint="BF"/>
    </w:rPr>
  </w:style>
  <w:style w:type="paragraph" w:styleId="ListParagraph">
    <w:name w:val="List Paragraph"/>
    <w:basedOn w:val="Normal"/>
    <w:uiPriority w:val="34"/>
    <w:qFormat/>
    <w:rsid w:val="00B27D0E"/>
    <w:pPr>
      <w:ind w:left="720"/>
      <w:contextualSpacing/>
    </w:pPr>
  </w:style>
  <w:style w:type="character" w:styleId="IntenseEmphasis">
    <w:name w:val="Intense Emphasis"/>
    <w:basedOn w:val="DefaultParagraphFont"/>
    <w:uiPriority w:val="21"/>
    <w:qFormat/>
    <w:rsid w:val="00B27D0E"/>
    <w:rPr>
      <w:i/>
      <w:iCs/>
      <w:color w:val="0F4761" w:themeColor="accent1" w:themeShade="BF"/>
    </w:rPr>
  </w:style>
  <w:style w:type="paragraph" w:styleId="IntenseQuote">
    <w:name w:val="Intense Quote"/>
    <w:basedOn w:val="Normal"/>
    <w:next w:val="Normal"/>
    <w:link w:val="IntenseQuoteChar"/>
    <w:uiPriority w:val="30"/>
    <w:qFormat/>
    <w:rsid w:val="00B27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D0E"/>
    <w:rPr>
      <w:i/>
      <w:iCs/>
      <w:color w:val="0F4761" w:themeColor="accent1" w:themeShade="BF"/>
    </w:rPr>
  </w:style>
  <w:style w:type="character" w:styleId="IntenseReference">
    <w:name w:val="Intense Reference"/>
    <w:basedOn w:val="DefaultParagraphFont"/>
    <w:uiPriority w:val="32"/>
    <w:qFormat/>
    <w:rsid w:val="00B27D0E"/>
    <w:rPr>
      <w:b/>
      <w:bCs/>
      <w:smallCaps/>
      <w:color w:val="0F4761" w:themeColor="accent1" w:themeShade="BF"/>
      <w:spacing w:val="5"/>
    </w:rPr>
  </w:style>
  <w:style w:type="table" w:styleId="TableGrid">
    <w:name w:val="Table Grid"/>
    <w:basedOn w:val="TableNormal"/>
    <w:uiPriority w:val="39"/>
    <w:rsid w:val="00DD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7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752"/>
  </w:style>
  <w:style w:type="paragraph" w:styleId="Footer">
    <w:name w:val="footer"/>
    <w:basedOn w:val="Normal"/>
    <w:link w:val="FooterChar"/>
    <w:uiPriority w:val="99"/>
    <w:unhideWhenUsed/>
    <w:rsid w:val="00237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52"/>
  </w:style>
  <w:style w:type="paragraph" w:styleId="Revision">
    <w:name w:val="Revision"/>
    <w:hidden/>
    <w:uiPriority w:val="99"/>
    <w:semiHidden/>
    <w:rsid w:val="00D5494C"/>
    <w:pPr>
      <w:spacing w:after="0" w:line="240" w:lineRule="auto"/>
    </w:pPr>
  </w:style>
  <w:style w:type="character" w:styleId="CommentReference">
    <w:name w:val="annotation reference"/>
    <w:basedOn w:val="DefaultParagraphFont"/>
    <w:uiPriority w:val="99"/>
    <w:semiHidden/>
    <w:unhideWhenUsed/>
    <w:rsid w:val="00F41057"/>
    <w:rPr>
      <w:sz w:val="16"/>
      <w:szCs w:val="16"/>
    </w:rPr>
  </w:style>
  <w:style w:type="paragraph" w:styleId="CommentText">
    <w:name w:val="annotation text"/>
    <w:basedOn w:val="Normal"/>
    <w:link w:val="CommentTextChar"/>
    <w:uiPriority w:val="99"/>
    <w:unhideWhenUsed/>
    <w:rsid w:val="00F41057"/>
    <w:pPr>
      <w:spacing w:line="240" w:lineRule="auto"/>
    </w:pPr>
    <w:rPr>
      <w:sz w:val="20"/>
      <w:szCs w:val="20"/>
    </w:rPr>
  </w:style>
  <w:style w:type="character" w:customStyle="1" w:styleId="CommentTextChar">
    <w:name w:val="Comment Text Char"/>
    <w:basedOn w:val="DefaultParagraphFont"/>
    <w:link w:val="CommentText"/>
    <w:uiPriority w:val="99"/>
    <w:rsid w:val="00F41057"/>
    <w:rPr>
      <w:sz w:val="20"/>
      <w:szCs w:val="20"/>
    </w:rPr>
  </w:style>
  <w:style w:type="paragraph" w:styleId="CommentSubject">
    <w:name w:val="annotation subject"/>
    <w:basedOn w:val="CommentText"/>
    <w:next w:val="CommentText"/>
    <w:link w:val="CommentSubjectChar"/>
    <w:uiPriority w:val="99"/>
    <w:semiHidden/>
    <w:unhideWhenUsed/>
    <w:rsid w:val="00F41057"/>
    <w:rPr>
      <w:b/>
      <w:bCs/>
    </w:rPr>
  </w:style>
  <w:style w:type="character" w:customStyle="1" w:styleId="CommentSubjectChar">
    <w:name w:val="Comment Subject Char"/>
    <w:basedOn w:val="CommentTextChar"/>
    <w:link w:val="CommentSubject"/>
    <w:uiPriority w:val="99"/>
    <w:semiHidden/>
    <w:rsid w:val="00F41057"/>
    <w:rPr>
      <w:b/>
      <w:bCs/>
      <w:sz w:val="20"/>
      <w:szCs w:val="20"/>
    </w:rPr>
  </w:style>
  <w:style w:type="character" w:styleId="Mention">
    <w:name w:val="Mention"/>
    <w:basedOn w:val="DefaultParagraphFont"/>
    <w:uiPriority w:val="99"/>
    <w:unhideWhenUsed/>
    <w:rsid w:val="00F4105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47044">
      <w:bodyDiv w:val="1"/>
      <w:marLeft w:val="0"/>
      <w:marRight w:val="0"/>
      <w:marTop w:val="0"/>
      <w:marBottom w:val="0"/>
      <w:divBdr>
        <w:top w:val="none" w:sz="0" w:space="0" w:color="auto"/>
        <w:left w:val="none" w:sz="0" w:space="0" w:color="auto"/>
        <w:bottom w:val="none" w:sz="0" w:space="0" w:color="auto"/>
        <w:right w:val="none" w:sz="0" w:space="0" w:color="auto"/>
      </w:divBdr>
    </w:div>
    <w:div w:id="1135483953">
      <w:bodyDiv w:val="1"/>
      <w:marLeft w:val="0"/>
      <w:marRight w:val="0"/>
      <w:marTop w:val="0"/>
      <w:marBottom w:val="0"/>
      <w:divBdr>
        <w:top w:val="none" w:sz="0" w:space="0" w:color="auto"/>
        <w:left w:val="none" w:sz="0" w:space="0" w:color="auto"/>
        <w:bottom w:val="none" w:sz="0" w:space="0" w:color="auto"/>
        <w:right w:val="none" w:sz="0" w:space="0" w:color="auto"/>
      </w:divBdr>
    </w:div>
    <w:div w:id="1136217964">
      <w:bodyDiv w:val="1"/>
      <w:marLeft w:val="0"/>
      <w:marRight w:val="0"/>
      <w:marTop w:val="0"/>
      <w:marBottom w:val="0"/>
      <w:divBdr>
        <w:top w:val="none" w:sz="0" w:space="0" w:color="auto"/>
        <w:left w:val="none" w:sz="0" w:space="0" w:color="auto"/>
        <w:bottom w:val="none" w:sz="0" w:space="0" w:color="auto"/>
        <w:right w:val="none" w:sz="0" w:space="0" w:color="auto"/>
      </w:divBdr>
    </w:div>
    <w:div w:id="1366710611">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12613126">
      <w:bodyDiv w:val="1"/>
      <w:marLeft w:val="0"/>
      <w:marRight w:val="0"/>
      <w:marTop w:val="0"/>
      <w:marBottom w:val="0"/>
      <w:divBdr>
        <w:top w:val="none" w:sz="0" w:space="0" w:color="auto"/>
        <w:left w:val="none" w:sz="0" w:space="0" w:color="auto"/>
        <w:bottom w:val="none" w:sz="0" w:space="0" w:color="auto"/>
        <w:right w:val="none" w:sz="0" w:space="0" w:color="auto"/>
      </w:divBdr>
    </w:div>
    <w:div w:id="1808468061">
      <w:bodyDiv w:val="1"/>
      <w:marLeft w:val="0"/>
      <w:marRight w:val="0"/>
      <w:marTop w:val="0"/>
      <w:marBottom w:val="0"/>
      <w:divBdr>
        <w:top w:val="none" w:sz="0" w:space="0" w:color="auto"/>
        <w:left w:val="none" w:sz="0" w:space="0" w:color="auto"/>
        <w:bottom w:val="none" w:sz="0" w:space="0" w:color="auto"/>
        <w:right w:val="none" w:sz="0" w:space="0" w:color="auto"/>
      </w:divBdr>
    </w:div>
    <w:div w:id="19433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202D4-288A-46D0-AD67-05D4A275ABCA}">
  <ds:schemaRefs>
    <ds:schemaRef ds:uri="http://schemas.microsoft.com/sharepoint/v3/contenttype/forms"/>
  </ds:schemaRefs>
</ds:datastoreItem>
</file>

<file path=customXml/itemProps2.xml><?xml version="1.0" encoding="utf-8"?>
<ds:datastoreItem xmlns:ds="http://schemas.openxmlformats.org/officeDocument/2006/customXml" ds:itemID="{7D0ED1BD-DC9A-4AA5-B409-DC187811022E}">
  <ds:schemaRefs>
    <ds:schemaRef ds:uri="http://schemas.microsoft.com/office/2006/metadata/properties"/>
    <ds:schemaRef ds:uri="http://schemas.microsoft.com/office/infopath/2007/PartnerControls"/>
    <ds:schemaRef ds:uri="127c0e28-cc6a-49c8-99a7-cb08aea87cb2"/>
    <ds:schemaRef ds:uri="108a1315-992f-4104-9d59-8340a80ae802"/>
  </ds:schemaRefs>
</ds:datastoreItem>
</file>

<file path=customXml/itemProps3.xml><?xml version="1.0" encoding="utf-8"?>
<ds:datastoreItem xmlns:ds="http://schemas.openxmlformats.org/officeDocument/2006/customXml" ds:itemID="{4799CB59-ABE3-4772-BB25-5A21C803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a1315-992f-4104-9d59-8340a80ae802"/>
    <ds:schemaRef ds:uri="127c0e28-cc6a-49c8-99a7-cb08aea87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984BE7-74FA-4484-A182-24EFEBC19DCF}">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4</TotalTime>
  <Pages>4</Pages>
  <Words>1293</Words>
  <Characters>7376</Characters>
  <Application>Microsoft Office Word</Application>
  <DocSecurity>0</DocSecurity>
  <Lines>61</Lines>
  <Paragraphs>17</Paragraphs>
  <ScaleCrop>false</ScaleCrop>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MARIE A CIV USAF AFMC HQAFMC/EN/DATF</dc:creator>
  <cp:keywords/>
  <dc:description/>
  <cp:lastModifiedBy>Hoelscher, Stacie</cp:lastModifiedBy>
  <cp:revision>3</cp:revision>
  <cp:lastPrinted>2024-10-24T19:47:00Z</cp:lastPrinted>
  <dcterms:created xsi:type="dcterms:W3CDTF">2024-11-04T15:35:00Z</dcterms:created>
  <dcterms:modified xsi:type="dcterms:W3CDTF">2024-11-04T15:38:00Z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y fmtid="{D5CDD505-2E9C-101B-9397-08002B2CF9AE}" pid="3" name="MediaServiceImageTags">
    <vt:lpwstr/>
  </property>
  <property fmtid="{D5CDD505-2E9C-101B-9397-08002B2CF9AE}" pid="4" name="ClassificationContentMarkingFooterShapeIds">
    <vt:lpwstr>15ef6214,22fc3c8d,4f959af6</vt:lpwstr>
  </property>
  <property fmtid="{D5CDD505-2E9C-101B-9397-08002B2CF9AE}" pid="5" name="ClassificationContentMarkingFooterFontProps">
    <vt:lpwstr>#000000,8,Calibri</vt:lpwstr>
  </property>
  <property fmtid="{D5CDD505-2E9C-101B-9397-08002B2CF9AE}" pid="6" name="ClassificationContentMarkingFooterText">
    <vt:lpwstr>UDRI Proprietary - Unprotected</vt:lpwstr>
  </property>
  <property fmtid="{D5CDD505-2E9C-101B-9397-08002B2CF9AE}" pid="7" name="MSIP_Label_9a4223ec-2ace-4b6f-97cb-2781c95c6a57_Enabled">
    <vt:lpwstr>true</vt:lpwstr>
  </property>
  <property fmtid="{D5CDD505-2E9C-101B-9397-08002B2CF9AE}" pid="8" name="MSIP_Label_9a4223ec-2ace-4b6f-97cb-2781c95c6a57_SetDate">
    <vt:lpwstr>2024-11-04T14:50:22Z</vt:lpwstr>
  </property>
  <property fmtid="{D5CDD505-2E9C-101B-9397-08002B2CF9AE}" pid="9" name="MSIP_Label_9a4223ec-2ace-4b6f-97cb-2781c95c6a57_Method">
    <vt:lpwstr>Standard</vt:lpwstr>
  </property>
  <property fmtid="{D5CDD505-2E9C-101B-9397-08002B2CF9AE}" pid="10" name="MSIP_Label_9a4223ec-2ace-4b6f-97cb-2781c95c6a57_Name">
    <vt:lpwstr>UDRIProprietaryAnyone</vt:lpwstr>
  </property>
  <property fmtid="{D5CDD505-2E9C-101B-9397-08002B2CF9AE}" pid="11" name="MSIP_Label_9a4223ec-2ace-4b6f-97cb-2781c95c6a57_SiteId">
    <vt:lpwstr>f2d5b9a2-5ebd-42ba-8690-a10d6bbed085</vt:lpwstr>
  </property>
  <property fmtid="{D5CDD505-2E9C-101B-9397-08002B2CF9AE}" pid="12" name="MSIP_Label_9a4223ec-2ace-4b6f-97cb-2781c95c6a57_ActionId">
    <vt:lpwstr>606d4b71-13c6-4f8d-9699-61d2882d9a6a</vt:lpwstr>
  </property>
  <property fmtid="{D5CDD505-2E9C-101B-9397-08002B2CF9AE}" pid="13" name="MSIP_Label_9a4223ec-2ace-4b6f-97cb-2781c95c6a57_ContentBits">
    <vt:lpwstr>2</vt:lpwstr>
  </property>
</Properties>
</file>