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405"/>
        <w:gridCol w:w="6210"/>
      </w:tblGrid>
      <w:tr w:rsidR="00E70D8E" w14:paraId="386FD352" w14:textId="77777777" w:rsidTr="3D2C5891">
        <w:trPr>
          <w:trHeight w:val="300"/>
        </w:trPr>
        <w:tc>
          <w:tcPr>
            <w:tcW w:w="10615" w:type="dxa"/>
            <w:gridSpan w:val="2"/>
            <w:shd w:val="clear" w:color="auto" w:fill="FFFFFF" w:themeFill="background1"/>
          </w:tcPr>
          <w:p w14:paraId="5D58F304" w14:textId="6F791619" w:rsidR="00E70D8E" w:rsidRPr="201B7C6E" w:rsidRDefault="00E70D8E" w:rsidP="002D1DC9">
            <w:pPr>
              <w:rPr>
                <w:b/>
                <w:bCs/>
              </w:rPr>
            </w:pPr>
            <w:r>
              <w:rPr>
                <w:b/>
                <w:bCs/>
              </w:rPr>
              <w:t xml:space="preserve">Table Number:  </w:t>
            </w:r>
            <w:r w:rsidR="009D4C10">
              <w:rPr>
                <w:b/>
                <w:bCs/>
              </w:rPr>
              <w:t>SVR/FCA</w:t>
            </w:r>
            <w:r>
              <w:rPr>
                <w:b/>
                <w:bCs/>
              </w:rPr>
              <w:t xml:space="preserve">                                                       Facilitator Name: </w:t>
            </w:r>
            <w:r w:rsidR="009D4C10">
              <w:rPr>
                <w:b/>
                <w:bCs/>
              </w:rPr>
              <w:t>Pam Kobryn</w:t>
            </w:r>
          </w:p>
        </w:tc>
      </w:tr>
      <w:tr w:rsidR="201B7C6E" w14:paraId="4997EE6A" w14:textId="77777777" w:rsidTr="3D2C5891">
        <w:trPr>
          <w:trHeight w:val="300"/>
        </w:trPr>
        <w:tc>
          <w:tcPr>
            <w:tcW w:w="10615" w:type="dxa"/>
            <w:gridSpan w:val="2"/>
            <w:shd w:val="clear" w:color="auto" w:fill="FFC000"/>
          </w:tcPr>
          <w:p w14:paraId="4B4C9CD5" w14:textId="7DCBB2A1" w:rsidR="201B7C6E" w:rsidRDefault="44455350" w:rsidP="328B30DD">
            <w:pPr>
              <w:rPr>
                <w:b/>
                <w:bCs/>
              </w:rPr>
            </w:pPr>
            <w:r w:rsidRPr="201B7C6E">
              <w:rPr>
                <w:b/>
                <w:bCs/>
              </w:rPr>
              <w:t>Session 1</w:t>
            </w:r>
            <w:r w:rsidR="00CB7C9A">
              <w:rPr>
                <w:b/>
                <w:bCs/>
              </w:rPr>
              <w:t xml:space="preserve"> Part 1</w:t>
            </w:r>
            <w:r w:rsidRPr="201B7C6E">
              <w:rPr>
                <w:b/>
                <w:bCs/>
              </w:rPr>
              <w:t>: Implementing Digital SETRs</w:t>
            </w:r>
          </w:p>
        </w:tc>
      </w:tr>
      <w:tr w:rsidR="00834C5D" w:rsidRPr="00D14C8C" w14:paraId="71BC37A8" w14:textId="77777777" w:rsidTr="3D2C5891">
        <w:trPr>
          <w:trHeight w:val="260"/>
        </w:trPr>
        <w:tc>
          <w:tcPr>
            <w:tcW w:w="10615" w:type="dxa"/>
            <w:gridSpan w:val="2"/>
            <w:shd w:val="clear" w:color="auto" w:fill="auto"/>
          </w:tcPr>
          <w:p w14:paraId="5E86BAE1" w14:textId="0C2FBBED" w:rsidR="00834C5D" w:rsidRPr="00B642A9" w:rsidRDefault="00437E4A" w:rsidP="328B30DD">
            <w:pPr>
              <w:rPr>
                <w:b/>
                <w:bCs/>
              </w:rPr>
            </w:pPr>
            <w:r w:rsidRPr="00437E4A">
              <w:t xml:space="preserve">For SETR </w:t>
            </w:r>
            <w:r w:rsidR="00883A65">
              <w:t>processes</w:t>
            </w:r>
            <w:r w:rsidRPr="00437E4A">
              <w:t xml:space="preserve"> in general, please use the space below to answer the following questions. If continuing your answers on a different page, please use the question number, e.g. </w:t>
            </w:r>
            <w:r>
              <w:t>1.c, to indicate what you are responding to.</w:t>
            </w:r>
          </w:p>
        </w:tc>
      </w:tr>
      <w:tr w:rsidR="00883A65" w:rsidRPr="00D14C8C" w14:paraId="443611ED" w14:textId="77777777" w:rsidTr="3D2C5891">
        <w:trPr>
          <w:trHeight w:val="260"/>
        </w:trPr>
        <w:tc>
          <w:tcPr>
            <w:tcW w:w="10615" w:type="dxa"/>
            <w:gridSpan w:val="2"/>
            <w:shd w:val="clear" w:color="auto" w:fill="auto"/>
          </w:tcPr>
          <w:p w14:paraId="7B59A535" w14:textId="77777777" w:rsidR="00883A65" w:rsidRPr="00B642A9" w:rsidRDefault="00883A65" w:rsidP="00883A65">
            <w:pPr>
              <w:rPr>
                <w:b/>
                <w:bCs/>
              </w:rPr>
            </w:pPr>
            <w:r w:rsidRPr="00B642A9">
              <w:rPr>
                <w:b/>
                <w:bCs/>
              </w:rPr>
              <w:t>Overall SETR Process</w:t>
            </w:r>
          </w:p>
          <w:p w14:paraId="3923E514" w14:textId="4DA29666" w:rsidR="00883A65" w:rsidRPr="00B642A9" w:rsidRDefault="00883A65" w:rsidP="00883A65">
            <w:pPr>
              <w:numPr>
                <w:ilvl w:val="0"/>
                <w:numId w:val="4"/>
              </w:numPr>
              <w:tabs>
                <w:tab w:val="clear" w:pos="720"/>
              </w:tabs>
              <w:ind w:left="432"/>
            </w:pPr>
            <w:r>
              <w:t xml:space="preserve">What are the </w:t>
            </w:r>
            <w:r w:rsidR="47D9F234">
              <w:t>current</w:t>
            </w:r>
            <w:r w:rsidR="28CC245D">
              <w:t xml:space="preserve"> </w:t>
            </w:r>
            <w:r>
              <w:t>overall challenges to preparing, documenting, executing, and reviewing SETRs?</w:t>
            </w:r>
          </w:p>
          <w:p w14:paraId="31180FCD" w14:textId="77777777" w:rsidR="00883A65" w:rsidRPr="00B642A9" w:rsidRDefault="00883A65" w:rsidP="00883A65">
            <w:pPr>
              <w:numPr>
                <w:ilvl w:val="0"/>
                <w:numId w:val="4"/>
              </w:numPr>
              <w:tabs>
                <w:tab w:val="clear" w:pos="720"/>
              </w:tabs>
              <w:ind w:left="432"/>
            </w:pPr>
            <w:r w:rsidRPr="00B642A9">
              <w:t>What approaches (digital or otherwise) have you found successful in accelerating the SETR process while increasing (or maintaining) the efficacy of the review?</w:t>
            </w:r>
          </w:p>
          <w:p w14:paraId="0322F5A8" w14:textId="77777777" w:rsidR="00883A65" w:rsidRPr="00B642A9" w:rsidRDefault="00883A65" w:rsidP="00883A65">
            <w:pPr>
              <w:numPr>
                <w:ilvl w:val="0"/>
                <w:numId w:val="5"/>
              </w:numPr>
              <w:tabs>
                <w:tab w:val="clear" w:pos="720"/>
              </w:tabs>
              <w:ind w:left="432"/>
            </w:pPr>
            <w:r>
              <w:t>What digital tools, platforms, or methods have you used in your SETR processes? Have these been sufficient?  Expand on successes, failures or gaps.</w:t>
            </w:r>
          </w:p>
          <w:p w14:paraId="6F36DAC3" w14:textId="4B04F193" w:rsidR="00883A65" w:rsidRPr="00B642A9" w:rsidRDefault="00883A65" w:rsidP="76FD3177">
            <w:pPr>
              <w:numPr>
                <w:ilvl w:val="0"/>
                <w:numId w:val="6"/>
              </w:numPr>
              <w:tabs>
                <w:tab w:val="clear" w:pos="720"/>
              </w:tabs>
              <w:ind w:left="72" w:firstLine="0"/>
            </w:pPr>
            <w:r w:rsidRPr="00B642A9">
              <w:t>What are the lessons learned from the approaches you've tried or participated in?</w:t>
            </w:r>
            <w:r w:rsidR="00C42655">
              <w:t xml:space="preserve"> </w:t>
            </w:r>
          </w:p>
          <w:p w14:paraId="275A1978" w14:textId="1BA3D98C" w:rsidR="00883A65" w:rsidRPr="00437E4A" w:rsidRDefault="7AF1F4A5" w:rsidP="00E270E4">
            <w:pPr>
              <w:numPr>
                <w:ilvl w:val="0"/>
                <w:numId w:val="6"/>
              </w:numPr>
              <w:tabs>
                <w:tab w:val="clear" w:pos="720"/>
              </w:tabs>
              <w:ind w:left="432"/>
            </w:pPr>
            <w:r>
              <w:t xml:space="preserve">(optional) </w:t>
            </w:r>
            <w:r w:rsidR="281FB38D">
              <w:t>What</w:t>
            </w:r>
            <w:r w:rsidR="00883A65">
              <w:t xml:space="preserve"> specific cultural attributes need to change to successfully implement the approaches identified above? Are their risks or impediments, and how would you mitigate or overcome them?</w:t>
            </w:r>
          </w:p>
          <w:p w14:paraId="0E7399F1" w14:textId="30DBB2AE" w:rsidR="00883A65" w:rsidRPr="00437E4A" w:rsidRDefault="00883A65" w:rsidP="68C68383"/>
          <w:p w14:paraId="618B7F26" w14:textId="77777777" w:rsidR="006D17B9" w:rsidRDefault="006D17B9" w:rsidP="68C68383">
            <w:r>
              <w:t xml:space="preserve">1a. </w:t>
            </w:r>
          </w:p>
          <w:p w14:paraId="2BC44A4A" w14:textId="3A36C0B4" w:rsidR="00883A65" w:rsidRDefault="006D17B9" w:rsidP="68C68383">
            <w:r>
              <w:t>Siloed approach</w:t>
            </w:r>
          </w:p>
          <w:p w14:paraId="70C8E0E3" w14:textId="4637320F" w:rsidR="006D17B9" w:rsidRDefault="006D17B9" w:rsidP="68C68383">
            <w:r>
              <w:t xml:space="preserve">Unclear </w:t>
            </w:r>
            <w:proofErr w:type="spellStart"/>
            <w:r>
              <w:t>srandards</w:t>
            </w:r>
            <w:proofErr w:type="spellEnd"/>
            <w:r>
              <w:t xml:space="preserve"> and </w:t>
            </w:r>
            <w:proofErr w:type="spellStart"/>
            <w:r>
              <w:t>req’ts</w:t>
            </w:r>
            <w:proofErr w:type="spellEnd"/>
          </w:p>
          <w:p w14:paraId="5AE3B290" w14:textId="73B9C1F5" w:rsidR="006D17B9" w:rsidRDefault="006D17B9" w:rsidP="68C68383">
            <w:r>
              <w:t>Org inconsistencies in gathering documentation among different IPTs</w:t>
            </w:r>
          </w:p>
          <w:p w14:paraId="5AEBFADC" w14:textId="71433435" w:rsidR="006D17B9" w:rsidRDefault="006D17B9" w:rsidP="68C68383">
            <w:r>
              <w:t>Capturing the baseline and characterizing risks</w:t>
            </w:r>
          </w:p>
          <w:p w14:paraId="066BDA81" w14:textId="6299E751" w:rsidR="006D17B9" w:rsidRDefault="006D17B9" w:rsidP="68C68383">
            <w:r>
              <w:t xml:space="preserve">Inconsistent </w:t>
            </w:r>
            <w:proofErr w:type="spellStart"/>
            <w:r>
              <w:t>def’n</w:t>
            </w:r>
            <w:proofErr w:type="spellEnd"/>
            <w:r>
              <w:t xml:space="preserve"> of inputs and outputs</w:t>
            </w:r>
          </w:p>
          <w:p w14:paraId="0FC09A43" w14:textId="62A2C58D" w:rsidR="006D17B9" w:rsidRPr="00437E4A" w:rsidRDefault="006D17B9" w:rsidP="68C68383">
            <w:r>
              <w:t>Differences in scope and scale of programs (e.g. ACAT levels)</w:t>
            </w:r>
          </w:p>
          <w:p w14:paraId="58859616" w14:textId="12E02C74" w:rsidR="00883A65" w:rsidRDefault="006D17B9" w:rsidP="7FF7CBC0">
            <w:r>
              <w:t>Running the SETRs – more info to review than can be reviewed in allotted time (days, weeks)</w:t>
            </w:r>
          </w:p>
          <w:p w14:paraId="159CEA52" w14:textId="097E92B3" w:rsidR="006D17B9" w:rsidRPr="00437E4A" w:rsidRDefault="006D17B9" w:rsidP="7FF7CBC0">
            <w:r>
              <w:t>Trying to use new methods while crunched for time</w:t>
            </w:r>
          </w:p>
          <w:p w14:paraId="5652B0F3" w14:textId="77353C0C" w:rsidR="00883A65" w:rsidRDefault="006D17B9" w:rsidP="7FF7CBC0">
            <w:r>
              <w:t>Siloed tools that get concatenated into pptx; config control &amp; admin burden is high and error prone</w:t>
            </w:r>
          </w:p>
          <w:p w14:paraId="48B80287" w14:textId="63D5C396" w:rsidR="006D17B9" w:rsidRDefault="006D17B9" w:rsidP="7FF7CBC0">
            <w:r>
              <w:t>Reviewing a snapshot of data than the actual data</w:t>
            </w:r>
          </w:p>
          <w:p w14:paraId="66764A93" w14:textId="0CC0C4F6" w:rsidR="006D17B9" w:rsidRDefault="006D17B9" w:rsidP="7FF7CBC0">
            <w:r>
              <w:t>Data access &amp; info sharing; inconsistent media (</w:t>
            </w:r>
            <w:proofErr w:type="spellStart"/>
            <w:r>
              <w:t>SysML</w:t>
            </w:r>
            <w:proofErr w:type="spellEnd"/>
            <w:r>
              <w:t>, DOORS, Word, etc.) – difficult to synthesize for decision makers</w:t>
            </w:r>
          </w:p>
          <w:p w14:paraId="6A9621DE" w14:textId="6106B836" w:rsidR="006D17B9" w:rsidRDefault="006D17B9" w:rsidP="7FF7CBC0">
            <w:r>
              <w:t>Classification/security challenges for data access</w:t>
            </w:r>
          </w:p>
          <w:p w14:paraId="37AB21C3" w14:textId="731D56B3" w:rsidR="006D17B9" w:rsidRDefault="006D17B9" w:rsidP="7FF7CBC0">
            <w:r>
              <w:t>Driving standards to cover past and future</w:t>
            </w:r>
          </w:p>
          <w:p w14:paraId="1734CCDF" w14:textId="4B9EE6DC" w:rsidR="006D17B9" w:rsidRDefault="00F84877" w:rsidP="7FF7CBC0">
            <w:r>
              <w:t>MBSE: assessing maturity of an MBSE design in each SETR? Training to understand artifacts</w:t>
            </w:r>
          </w:p>
          <w:p w14:paraId="117F6C5A" w14:textId="2E3CDE79" w:rsidR="00F84877" w:rsidRDefault="00F84877" w:rsidP="7FF7CBC0">
            <w:r>
              <w:t>Deliverables: documents, diagrams, data sets, models?</w:t>
            </w:r>
          </w:p>
          <w:p w14:paraId="6CD7F25E" w14:textId="35A0BB99" w:rsidR="00F84877" w:rsidRDefault="00F84877" w:rsidP="7FF7CBC0">
            <w:r>
              <w:t>Reviews are in addition to everyone’s day jobs!</w:t>
            </w:r>
          </w:p>
          <w:p w14:paraId="0DF9E0AA" w14:textId="77777777" w:rsidR="00F84877" w:rsidRPr="00437E4A" w:rsidRDefault="00F84877" w:rsidP="7FF7CBC0"/>
          <w:p w14:paraId="32C9E125" w14:textId="66B28773" w:rsidR="00883A65" w:rsidRDefault="00F84877" w:rsidP="7FF7CBC0">
            <w:r>
              <w:t>1b.</w:t>
            </w:r>
          </w:p>
          <w:p w14:paraId="19D287DA" w14:textId="305D5E0A" w:rsidR="00F84877" w:rsidRDefault="00F84877" w:rsidP="7FF7CBC0">
            <w:r>
              <w:t>Access to system integrator’s IT ecosystem (ASOT)</w:t>
            </w:r>
          </w:p>
          <w:p w14:paraId="16BF3EFB" w14:textId="1C3EC2A6" w:rsidR="00F84877" w:rsidRDefault="00F84877" w:rsidP="7FF7CBC0">
            <w:r>
              <w:t>Getting away from pptx engineering – pulling artifacts from ecosystem</w:t>
            </w:r>
          </w:p>
          <w:p w14:paraId="4E540A1C" w14:textId="51FB07EE" w:rsidR="00F84877" w:rsidRDefault="00F84877" w:rsidP="7FF7CBC0">
            <w:r>
              <w:t xml:space="preserve">Digital integration – data access + integration from </w:t>
            </w:r>
            <w:proofErr w:type="spellStart"/>
            <w:r>
              <w:t>req’ts</w:t>
            </w:r>
            <w:proofErr w:type="spellEnd"/>
            <w:r>
              <w:t xml:space="preserve"> to design</w:t>
            </w:r>
          </w:p>
          <w:p w14:paraId="1BBBE154" w14:textId="19088F9A" w:rsidR="00F84877" w:rsidRDefault="00F84877" w:rsidP="7FF7CBC0">
            <w:r>
              <w:t>Prepping a digital framework: being able to reach the ASOT directly – making sure the ASOT is in a format that is accessible and usable</w:t>
            </w:r>
          </w:p>
          <w:p w14:paraId="70B8157D" w14:textId="0745D647" w:rsidR="00F84877" w:rsidRPr="00437E4A" w:rsidRDefault="00F84877" w:rsidP="7FF7CBC0">
            <w:r>
              <w:t xml:space="preserve">Making sure that we understand what the </w:t>
            </w:r>
            <w:proofErr w:type="spellStart"/>
            <w:r>
              <w:t>req’ts</w:t>
            </w:r>
            <w:proofErr w:type="spellEnd"/>
            <w:r>
              <w:t xml:space="preserve"> are upfront and expectations about deliverables and access</w:t>
            </w:r>
          </w:p>
          <w:p w14:paraId="50737DF4" w14:textId="66ACD945" w:rsidR="00883A65" w:rsidRDefault="00F84877" w:rsidP="7FF7CBC0">
            <w:r>
              <w:t>MBSE maturity assessment – clear success criteria and logical roadmap to achieve them</w:t>
            </w:r>
          </w:p>
          <w:p w14:paraId="60EB7B3B" w14:textId="4DC6AC8F" w:rsidR="00F84877" w:rsidRDefault="00F84877" w:rsidP="7FF7CBC0">
            <w:r>
              <w:t>Get info from the source and promote reuse</w:t>
            </w:r>
          </w:p>
          <w:p w14:paraId="1E449804" w14:textId="0CCB8EDB" w:rsidR="00F84877" w:rsidRDefault="004E4DAF" w:rsidP="7FF7CBC0">
            <w:r>
              <w:t>Clearly defined ASOT for all data artifacts</w:t>
            </w:r>
          </w:p>
          <w:p w14:paraId="024016F9" w14:textId="287D95DA" w:rsidR="004E4DAF" w:rsidRDefault="004E4DAF" w:rsidP="7FF7CBC0">
            <w:r>
              <w:t>Have someone from the reviewer’s staff riding along with the program</w:t>
            </w:r>
          </w:p>
          <w:p w14:paraId="6707CEED" w14:textId="5E4FCB03" w:rsidR="004E4DAF" w:rsidRPr="00437E4A" w:rsidRDefault="004E4DAF" w:rsidP="7FF7CBC0">
            <w:r>
              <w:t>Threading the middle ground between pptx and dumping the model by using curation to provide a pathway for understanding</w:t>
            </w:r>
          </w:p>
          <w:p w14:paraId="3ACDD038" w14:textId="41F1B17A" w:rsidR="00883A65" w:rsidRDefault="00883A65" w:rsidP="7FF7CBC0"/>
          <w:p w14:paraId="5798242B" w14:textId="58DC59D4" w:rsidR="004E4DAF" w:rsidRDefault="004E4DAF" w:rsidP="7FF7CBC0">
            <w:r>
              <w:lastRenderedPageBreak/>
              <w:t>1c.</w:t>
            </w:r>
          </w:p>
          <w:p w14:paraId="5D32B1B0" w14:textId="6B614B05" w:rsidR="004E4DAF" w:rsidRDefault="004E4DAF" w:rsidP="004E4DAF">
            <w:r>
              <w:t>Pptx</w:t>
            </w:r>
            <w:r w:rsidR="00E67BD4">
              <w:t>: 3</w:t>
            </w:r>
          </w:p>
          <w:p w14:paraId="7CD7972F" w14:textId="29893C6B" w:rsidR="004E4DAF" w:rsidRPr="00437E4A" w:rsidRDefault="004E4DAF" w:rsidP="004E4DAF">
            <w:r>
              <w:t>Excel</w:t>
            </w:r>
            <w:r w:rsidR="00E67BD4">
              <w:t>: 2-4</w:t>
            </w:r>
          </w:p>
          <w:p w14:paraId="43F91533" w14:textId="1045A7D0" w:rsidR="004E4DAF" w:rsidRDefault="004E4DAF" w:rsidP="7FF7CBC0">
            <w:r>
              <w:t>DOORS</w:t>
            </w:r>
            <w:r w:rsidR="00E67BD4">
              <w:t>: 1-3</w:t>
            </w:r>
          </w:p>
          <w:p w14:paraId="025AB8A1" w14:textId="4B3E3A58" w:rsidR="004E4DAF" w:rsidRDefault="004E4DAF" w:rsidP="004E4DAF">
            <w:r>
              <w:t>Jama</w:t>
            </w:r>
            <w:r w:rsidR="00E67BD4">
              <w:t>: 3</w:t>
            </w:r>
          </w:p>
          <w:p w14:paraId="5C8246EC" w14:textId="66268934" w:rsidR="004E4DAF" w:rsidRDefault="004E4DAF" w:rsidP="004E4DAF">
            <w:r>
              <w:t>Confluence for KM</w:t>
            </w:r>
            <w:r w:rsidR="00E67BD4">
              <w:t>: 3-4</w:t>
            </w:r>
          </w:p>
          <w:p w14:paraId="4584EBE2" w14:textId="63E4F462" w:rsidR="004E4DAF" w:rsidRDefault="004E4DAF" w:rsidP="004E4DAF">
            <w:r>
              <w:t>Jira</w:t>
            </w:r>
            <w:r w:rsidR="00E67BD4">
              <w:t>: 3</w:t>
            </w:r>
          </w:p>
          <w:p w14:paraId="77BE341E" w14:textId="10B4B330" w:rsidR="00E67BD4" w:rsidRDefault="00E67BD4" w:rsidP="7FF7CBC0">
            <w:r>
              <w:t>Metra: 3</w:t>
            </w:r>
          </w:p>
          <w:p w14:paraId="256496FB" w14:textId="33C2E152" w:rsidR="004E4DAF" w:rsidRDefault="004E4DAF" w:rsidP="7FF7CBC0">
            <w:r>
              <w:t>Cameo</w:t>
            </w:r>
            <w:r w:rsidR="00E67BD4">
              <w:t>: 2-4 (very user dependent)</w:t>
            </w:r>
          </w:p>
          <w:p w14:paraId="0DEC6538" w14:textId="3C2DE0C5" w:rsidR="00E67BD4" w:rsidRDefault="004E4DAF" w:rsidP="7FF7CBC0">
            <w:r>
              <w:t xml:space="preserve">NASTRAN/PASTRAN, </w:t>
            </w:r>
            <w:proofErr w:type="spellStart"/>
            <w:r>
              <w:t>solidworks</w:t>
            </w:r>
            <w:proofErr w:type="spellEnd"/>
            <w:r w:rsidR="00E67BD4">
              <w:t xml:space="preserve"> (4-5)</w:t>
            </w:r>
          </w:p>
          <w:p w14:paraId="724B3D59" w14:textId="0BD91C08" w:rsidR="004E4DAF" w:rsidRDefault="004E4DAF" w:rsidP="7FF7CBC0">
            <w:r>
              <w:t>proposal eval system</w:t>
            </w:r>
            <w:r w:rsidR="00E67BD4">
              <w:t xml:space="preserve"> (will find the name, but there are few) </w:t>
            </w:r>
            <w:r w:rsidR="002903D0">
              <w:t>4</w:t>
            </w:r>
          </w:p>
          <w:p w14:paraId="25A74D3A" w14:textId="05CE0DDC" w:rsidR="004E4DAF" w:rsidRDefault="004E4DAF" w:rsidP="7FF7CBC0">
            <w:r>
              <w:t>3DX</w:t>
            </w:r>
            <w:r w:rsidR="002903D0">
              <w:t>: integrator tool is very powerful if you use Cameo</w:t>
            </w:r>
          </w:p>
          <w:p w14:paraId="085D3229" w14:textId="0ACAA14B" w:rsidR="00E67BD4" w:rsidRDefault="00E67BD4" w:rsidP="00E67BD4">
            <w:r>
              <w:t>ASOT + digital thread methodology</w:t>
            </w:r>
            <w:r w:rsidR="002903D0">
              <w:t>: need to make sure it is in a single environment or that cybersecurity doesn’t limit crossing them</w:t>
            </w:r>
          </w:p>
          <w:p w14:paraId="1897A716" w14:textId="6EB29865" w:rsidR="004E4DAF" w:rsidRDefault="004E4DAF" w:rsidP="7FF7CBC0">
            <w:r>
              <w:t>3-ring binders</w:t>
            </w:r>
            <w:r w:rsidR="002903D0">
              <w:t>: printed form works for a lot of people and uses!</w:t>
            </w:r>
          </w:p>
          <w:p w14:paraId="7AED8594" w14:textId="0D20340B" w:rsidR="002903D0" w:rsidRDefault="002903D0" w:rsidP="7FF7CBC0">
            <w:proofErr w:type="spellStart"/>
            <w:r>
              <w:t>LaunchPad</w:t>
            </w:r>
            <w:proofErr w:type="spellEnd"/>
            <w:r>
              <w:t>: too few licenses, two sandboxes don’t talk to each other; no good tool-of-tools integrator; lack of training on which licenses to use when # of licenses is limited</w:t>
            </w:r>
          </w:p>
          <w:p w14:paraId="28BCA921" w14:textId="2D3D9C72" w:rsidR="00883A65" w:rsidRPr="00437E4A" w:rsidRDefault="00883A65" w:rsidP="7FF7CBC0"/>
          <w:p w14:paraId="3BA626BF" w14:textId="6FACBFF1" w:rsidR="00883A65" w:rsidRPr="00437E4A" w:rsidRDefault="00426291" w:rsidP="7FF7CBC0">
            <w:r>
              <w:t>Lesson learned: these reviews can never cut deep enough – need to focus on getting the mission-critical, key things locked in so you review what really matters!</w:t>
            </w:r>
          </w:p>
          <w:p w14:paraId="3B3EDE28" w14:textId="5E670E09" w:rsidR="00883A65" w:rsidRPr="00437E4A" w:rsidRDefault="00883A65" w:rsidP="7FF7CBC0"/>
          <w:p w14:paraId="46EA5308" w14:textId="0AF8AFC2" w:rsidR="00883A65" w:rsidRPr="00437E4A" w:rsidRDefault="00883A65" w:rsidP="7FF7CBC0"/>
          <w:p w14:paraId="66CEC13D" w14:textId="5D23DA1D" w:rsidR="00883A65" w:rsidRPr="00437E4A" w:rsidRDefault="00883A65" w:rsidP="7FF7CBC0"/>
          <w:p w14:paraId="653D4D4A" w14:textId="398D331C" w:rsidR="00883A65" w:rsidRPr="00437E4A" w:rsidRDefault="00883A65" w:rsidP="7FF7CBC0"/>
          <w:p w14:paraId="09C67257" w14:textId="662BBA24" w:rsidR="00883A65" w:rsidRPr="00437E4A" w:rsidRDefault="00883A65" w:rsidP="7FF7CBC0"/>
          <w:p w14:paraId="72A24A3B" w14:textId="26E489A3" w:rsidR="00883A65" w:rsidRPr="00437E4A" w:rsidRDefault="00883A65" w:rsidP="7FF7CBC0"/>
          <w:p w14:paraId="326976BB" w14:textId="428041E0" w:rsidR="00883A65" w:rsidRPr="00437E4A" w:rsidRDefault="00883A65" w:rsidP="7FF7CBC0"/>
          <w:p w14:paraId="0D2FCD19" w14:textId="6AB21DCD" w:rsidR="00883A65" w:rsidRPr="00437E4A" w:rsidRDefault="00883A65" w:rsidP="7FF7CBC0"/>
          <w:p w14:paraId="6E21D85F" w14:textId="62028845" w:rsidR="00883A65" w:rsidRPr="00437E4A" w:rsidRDefault="00883A65" w:rsidP="7FF7CBC0"/>
          <w:p w14:paraId="2C4BFC2B" w14:textId="61F59B36" w:rsidR="00883A65" w:rsidRPr="00437E4A" w:rsidRDefault="00883A65" w:rsidP="7FF7CBC0"/>
          <w:p w14:paraId="3A987972" w14:textId="4BD0673D" w:rsidR="00883A65" w:rsidRPr="00437E4A" w:rsidRDefault="00883A65" w:rsidP="7FF7CBC0"/>
          <w:p w14:paraId="47CFF210" w14:textId="3C07FD2C" w:rsidR="00883A65" w:rsidRPr="00437E4A" w:rsidRDefault="00883A65" w:rsidP="7FF7CBC0"/>
          <w:p w14:paraId="08821889" w14:textId="022F974B" w:rsidR="00883A65" w:rsidRPr="00437E4A" w:rsidRDefault="00883A65" w:rsidP="7FF7CBC0"/>
          <w:p w14:paraId="0CEF19FE" w14:textId="0858F57D" w:rsidR="00883A65" w:rsidRPr="00437E4A" w:rsidRDefault="00883A65" w:rsidP="032EBDA6"/>
          <w:p w14:paraId="0D9D88B1" w14:textId="147DFA35" w:rsidR="00883A65" w:rsidRPr="00437E4A" w:rsidRDefault="00883A65" w:rsidP="032EBDA6"/>
          <w:p w14:paraId="35CE6CB0" w14:textId="092F2FD6" w:rsidR="00883A65" w:rsidRPr="00437E4A" w:rsidRDefault="00883A65" w:rsidP="032EBDA6"/>
          <w:p w14:paraId="65AB1F18" w14:textId="2A39367A" w:rsidR="00883A65" w:rsidRPr="00437E4A" w:rsidRDefault="00883A65" w:rsidP="032EBDA6"/>
          <w:p w14:paraId="413663BB" w14:textId="7BB4682D" w:rsidR="00883A65" w:rsidRPr="00437E4A" w:rsidRDefault="00883A65" w:rsidP="032EBDA6"/>
          <w:p w14:paraId="74223B73" w14:textId="7FA8C18C" w:rsidR="00883A65" w:rsidRPr="00437E4A" w:rsidRDefault="00883A65" w:rsidP="032EBDA6"/>
          <w:p w14:paraId="07E0F92E" w14:textId="137CCEFD" w:rsidR="00883A65" w:rsidRPr="00437E4A" w:rsidRDefault="00883A65" w:rsidP="032EBDA6"/>
          <w:p w14:paraId="053B5C2B" w14:textId="6E201B17" w:rsidR="00883A65" w:rsidRPr="00437E4A" w:rsidRDefault="00883A65" w:rsidP="032EBDA6"/>
          <w:p w14:paraId="11B33423" w14:textId="3539FBE4" w:rsidR="00883A65" w:rsidRDefault="00883A65" w:rsidP="032EBDA6"/>
          <w:p w14:paraId="7590B39B" w14:textId="77777777" w:rsidR="006C7E49" w:rsidRDefault="006C7E49" w:rsidP="032EBDA6"/>
          <w:p w14:paraId="073EB533" w14:textId="77777777" w:rsidR="006C7E49" w:rsidRDefault="006C7E49" w:rsidP="032EBDA6"/>
          <w:p w14:paraId="7F3E176F" w14:textId="77777777" w:rsidR="006C7E49" w:rsidRPr="00437E4A" w:rsidRDefault="006C7E49" w:rsidP="032EBDA6"/>
          <w:p w14:paraId="0AC2B59A" w14:textId="4A9AD1D5" w:rsidR="00883A65" w:rsidRPr="00437E4A" w:rsidRDefault="00883A65" w:rsidP="032EBDA6"/>
          <w:p w14:paraId="48E8A4B0" w14:textId="1CF26164" w:rsidR="00883A65" w:rsidRPr="00437E4A" w:rsidRDefault="00883A65" w:rsidP="63AFC611"/>
          <w:p w14:paraId="12DD05D9" w14:textId="6610479A" w:rsidR="00883A65" w:rsidRPr="00437E4A" w:rsidRDefault="00883A65" w:rsidP="00883A65"/>
        </w:tc>
      </w:tr>
      <w:tr w:rsidR="00B642A9" w:rsidRPr="00D14C8C" w14:paraId="42BC3E3E" w14:textId="77777777" w:rsidTr="3D2C5891">
        <w:trPr>
          <w:trHeight w:val="422"/>
        </w:trPr>
        <w:tc>
          <w:tcPr>
            <w:tcW w:w="10615" w:type="dxa"/>
            <w:gridSpan w:val="2"/>
            <w:shd w:val="clear" w:color="auto" w:fill="FFC000"/>
          </w:tcPr>
          <w:p w14:paraId="6C097AE3" w14:textId="43F199B9" w:rsidR="00B642A9" w:rsidRDefault="00B642A9" w:rsidP="003F5F08">
            <w:pPr>
              <w:rPr>
                <w:b/>
                <w:bCs/>
              </w:rPr>
            </w:pPr>
            <w:r>
              <w:rPr>
                <w:b/>
                <w:bCs/>
              </w:rPr>
              <w:lastRenderedPageBreak/>
              <w:t>Session</w:t>
            </w:r>
            <w:r w:rsidRPr="00D14C8C">
              <w:rPr>
                <w:b/>
                <w:bCs/>
              </w:rPr>
              <w:t xml:space="preserve"> 1</w:t>
            </w:r>
            <w:r w:rsidR="00CB7C9A">
              <w:rPr>
                <w:b/>
                <w:bCs/>
              </w:rPr>
              <w:t xml:space="preserve"> Part 2</w:t>
            </w:r>
            <w:r w:rsidRPr="00D14C8C">
              <w:rPr>
                <w:b/>
                <w:bCs/>
              </w:rPr>
              <w:t xml:space="preserve">: </w:t>
            </w:r>
            <w:r w:rsidR="00FA4674">
              <w:rPr>
                <w:b/>
                <w:bCs/>
              </w:rPr>
              <w:t xml:space="preserve">Implementing Digital </w:t>
            </w:r>
            <w:r w:rsidRPr="00D14C8C">
              <w:rPr>
                <w:b/>
                <w:bCs/>
              </w:rPr>
              <w:t>SETR</w:t>
            </w:r>
            <w:r w:rsidR="00FA4674">
              <w:rPr>
                <w:b/>
                <w:bCs/>
              </w:rPr>
              <w:t>s</w:t>
            </w:r>
          </w:p>
        </w:tc>
      </w:tr>
      <w:tr w:rsidR="00B642A9" w14:paraId="4B42519C" w14:textId="77777777" w:rsidTr="3D2C5891">
        <w:trPr>
          <w:trHeight w:val="845"/>
        </w:trPr>
        <w:tc>
          <w:tcPr>
            <w:tcW w:w="10615" w:type="dxa"/>
            <w:gridSpan w:val="2"/>
          </w:tcPr>
          <w:p w14:paraId="605580FD" w14:textId="6C6FA279" w:rsidR="685122E1" w:rsidRDefault="685122E1" w:rsidP="00FA4674">
            <w:r>
              <w:t xml:space="preserve">For your </w:t>
            </w:r>
            <w:r w:rsidR="002C7DF6">
              <w:t>designated</w:t>
            </w:r>
            <w:r>
              <w:t xml:space="preserve"> SETR event</w:t>
            </w:r>
            <w:r w:rsidR="002C7DF6">
              <w:t>,</w:t>
            </w:r>
            <w:r>
              <w:t xml:space="preserve"> please use the space below to answer the following questions. If </w:t>
            </w:r>
            <w:r w:rsidR="1D9DF2C4">
              <w:t>continuing</w:t>
            </w:r>
            <w:r>
              <w:t xml:space="preserve"> </w:t>
            </w:r>
            <w:r w:rsidR="1D9DF2C4">
              <w:t xml:space="preserve">your answers on </w:t>
            </w:r>
            <w:r>
              <w:t>a different page, please use the question number, e.g. 1.c, to indicate what you are responding to.</w:t>
            </w:r>
          </w:p>
        </w:tc>
      </w:tr>
      <w:tr w:rsidR="005C7690" w14:paraId="18696BCE" w14:textId="77777777" w:rsidTr="007446F8">
        <w:trPr>
          <w:trHeight w:val="47"/>
        </w:trPr>
        <w:tc>
          <w:tcPr>
            <w:tcW w:w="10615" w:type="dxa"/>
            <w:gridSpan w:val="2"/>
            <w:shd w:val="clear" w:color="auto" w:fill="FFC000"/>
          </w:tcPr>
          <w:p w14:paraId="3D44EDF4" w14:textId="5029DB2C" w:rsidR="005C7690" w:rsidRDefault="005C7690" w:rsidP="00FA4674">
            <w:pPr>
              <w:rPr>
                <w:b/>
                <w:bCs/>
              </w:rPr>
            </w:pPr>
            <w:r>
              <w:rPr>
                <w:b/>
                <w:bCs/>
              </w:rPr>
              <w:t xml:space="preserve">Circle your table’s designated SETR </w:t>
            </w:r>
            <w:r w:rsidR="550CD764" w:rsidRPr="250AA360">
              <w:rPr>
                <w:b/>
                <w:bCs/>
              </w:rPr>
              <w:t>Event</w:t>
            </w:r>
          </w:p>
        </w:tc>
      </w:tr>
      <w:tr w:rsidR="005C7690" w14:paraId="58EDFAEE" w14:textId="77777777" w:rsidTr="007446F8">
        <w:trPr>
          <w:trHeight w:val="47"/>
        </w:trPr>
        <w:tc>
          <w:tcPr>
            <w:tcW w:w="4405" w:type="dxa"/>
          </w:tcPr>
          <w:p w14:paraId="08640980" w14:textId="77777777" w:rsidR="005C7690" w:rsidRDefault="005C7690" w:rsidP="328B30DD">
            <w:pPr>
              <w:spacing w:before="120"/>
            </w:pPr>
            <w:r>
              <w:t>1.  Systems Requirements Review (SRR)</w:t>
            </w:r>
          </w:p>
          <w:p w14:paraId="00CD25B5" w14:textId="77777777" w:rsidR="005C7690" w:rsidRDefault="005C7690" w:rsidP="328B30DD">
            <w:pPr>
              <w:spacing w:before="120"/>
            </w:pPr>
            <w:r>
              <w:t>2.  Systems Functional Review (SFR)</w:t>
            </w:r>
          </w:p>
          <w:p w14:paraId="592C38B1" w14:textId="77777777" w:rsidR="005C7690" w:rsidRDefault="005C7690" w:rsidP="328B30DD">
            <w:pPr>
              <w:spacing w:before="120"/>
            </w:pPr>
            <w:r>
              <w:t>3.  Preliminary Design Review (PDR)</w:t>
            </w:r>
          </w:p>
          <w:p w14:paraId="46838451" w14:textId="1087B107" w:rsidR="005C7690" w:rsidRDefault="005C7690" w:rsidP="328B30DD">
            <w:pPr>
              <w:spacing w:before="120"/>
              <w:rPr>
                <w:b/>
                <w:bCs/>
              </w:rPr>
            </w:pPr>
            <w:r>
              <w:t>4.  Critical Design Review (CDR)</w:t>
            </w:r>
          </w:p>
        </w:tc>
        <w:tc>
          <w:tcPr>
            <w:tcW w:w="6210" w:type="dxa"/>
          </w:tcPr>
          <w:p w14:paraId="4A3078D8" w14:textId="77777777" w:rsidR="005C7690" w:rsidRDefault="005C7690" w:rsidP="328B30DD">
            <w:pPr>
              <w:spacing w:before="120"/>
            </w:pPr>
            <w:r>
              <w:t xml:space="preserve">5.  Test Readiness Review (TRR) </w:t>
            </w:r>
          </w:p>
          <w:p w14:paraId="4098D21B" w14:textId="77777777" w:rsidR="005C7690" w:rsidRDefault="005C7690" w:rsidP="328B30DD">
            <w:pPr>
              <w:spacing w:before="120"/>
            </w:pPr>
            <w:r w:rsidRPr="002D318D">
              <w:rPr>
                <w:highlight w:val="yellow"/>
              </w:rPr>
              <w:t>6.  System Verification Review/Functional Configuration Audit</w:t>
            </w:r>
            <w:r>
              <w:t xml:space="preserve"> </w:t>
            </w:r>
          </w:p>
          <w:p w14:paraId="41C13544" w14:textId="77777777" w:rsidR="005C7690" w:rsidRDefault="005C7690" w:rsidP="328B30DD">
            <w:pPr>
              <w:spacing w:before="120"/>
            </w:pPr>
            <w:r>
              <w:t xml:space="preserve">7.  Production Readiness Review (PRR) </w:t>
            </w:r>
          </w:p>
          <w:p w14:paraId="0DDC5678" w14:textId="2C255B47" w:rsidR="005C7690" w:rsidRDefault="005C7690" w:rsidP="328B30DD">
            <w:pPr>
              <w:spacing w:before="120"/>
              <w:rPr>
                <w:b/>
                <w:bCs/>
              </w:rPr>
            </w:pPr>
            <w:r>
              <w:t>8.  Physical Configuration Audit (PCA)</w:t>
            </w:r>
          </w:p>
        </w:tc>
      </w:tr>
      <w:tr w:rsidR="005C7690" w14:paraId="49F755DE" w14:textId="77777777" w:rsidTr="3D2C5891">
        <w:trPr>
          <w:trHeight w:val="2618"/>
        </w:trPr>
        <w:tc>
          <w:tcPr>
            <w:tcW w:w="10615" w:type="dxa"/>
            <w:gridSpan w:val="2"/>
          </w:tcPr>
          <w:p w14:paraId="673E055E" w14:textId="77777777" w:rsidR="005C7690" w:rsidRPr="00FA4674" w:rsidRDefault="005C7690" w:rsidP="005C7690">
            <w:pPr>
              <w:rPr>
                <w:b/>
                <w:bCs/>
              </w:rPr>
            </w:pPr>
            <w:r w:rsidRPr="2094B522">
              <w:rPr>
                <w:b/>
                <w:bCs/>
              </w:rPr>
              <w:t>Specific Digital SETR Gate Criteria (as specified by your table marker)</w:t>
            </w:r>
          </w:p>
          <w:p w14:paraId="5160D2AB" w14:textId="77777777" w:rsidR="005C7690" w:rsidRPr="00F22E41" w:rsidRDefault="005C7690" w:rsidP="005C7690">
            <w:r>
              <w:t>For the Digital Engineering criteria proposed for your selected SETR event in the provided “Digital SETR Gate Criteria” document,</w:t>
            </w:r>
          </w:p>
          <w:p w14:paraId="0A7EDD11" w14:textId="77777777" w:rsidR="005C7690" w:rsidRDefault="005C7690" w:rsidP="005C7690">
            <w:pPr>
              <w:numPr>
                <w:ilvl w:val="0"/>
                <w:numId w:val="8"/>
              </w:numPr>
              <w:ind w:left="432"/>
            </w:pPr>
            <w:r>
              <w:t>Do the listed digital engineering criteria make sense for your selected SETR event?</w:t>
            </w:r>
          </w:p>
          <w:p w14:paraId="3FF37AB7" w14:textId="77777777" w:rsidR="005C7690" w:rsidRDefault="005C7690" w:rsidP="005C7690">
            <w:pPr>
              <w:numPr>
                <w:ilvl w:val="0"/>
                <w:numId w:val="8"/>
              </w:numPr>
              <w:ind w:left="432"/>
            </w:pPr>
            <w:r>
              <w:t xml:space="preserve">Are there any criteria you would add, change, or remove?  (Annotate the Gate Criteria doc if helpful) </w:t>
            </w:r>
          </w:p>
          <w:p w14:paraId="7AB79864" w14:textId="2EAAE611" w:rsidR="005C7690" w:rsidRPr="00F22E41" w:rsidRDefault="005C7690" w:rsidP="005C7690">
            <w:pPr>
              <w:numPr>
                <w:ilvl w:val="0"/>
                <w:numId w:val="8"/>
              </w:numPr>
              <w:ind w:left="432"/>
            </w:pPr>
            <w:r>
              <w:t xml:space="preserve">Do the listed criteria represent a reasonable digital maturity for the SETR event? </w:t>
            </w:r>
          </w:p>
          <w:p w14:paraId="6CC47F36" w14:textId="33BE658A" w:rsidR="005C7690" w:rsidRPr="00B642A9" w:rsidRDefault="005C7690" w:rsidP="005C7690">
            <w:pPr>
              <w:rPr>
                <w:b/>
                <w:bCs/>
              </w:rPr>
            </w:pPr>
          </w:p>
          <w:p w14:paraId="24B85BA7" w14:textId="4BA0F31A" w:rsidR="00660887" w:rsidRDefault="00660887" w:rsidP="005C7690">
            <w:r>
              <w:t>2a. Make sense in general</w:t>
            </w:r>
          </w:p>
          <w:p w14:paraId="24FF5218" w14:textId="09A54799" w:rsidR="005C7690" w:rsidRPr="00660887" w:rsidRDefault="00660887" w:rsidP="005C7690">
            <w:r w:rsidRPr="00660887">
              <w:t>2</w:t>
            </w:r>
            <w:r>
              <w:t>b</w:t>
            </w:r>
            <w:r w:rsidRPr="00660887">
              <w:t>.</w:t>
            </w:r>
          </w:p>
          <w:p w14:paraId="4D35C1B4" w14:textId="2C9667E8" w:rsidR="00660887" w:rsidRPr="00660887" w:rsidRDefault="00660887" w:rsidP="005C7690">
            <w:r w:rsidRPr="00660887">
              <w:t>Sufficiency of artifacts needs to be defined/assessed</w:t>
            </w:r>
          </w:p>
          <w:p w14:paraId="6DA3ED98" w14:textId="5D5E7C33" w:rsidR="00660887" w:rsidRDefault="00660887" w:rsidP="005C7690">
            <w:r>
              <w:t>Independent assessment of the artifacts</w:t>
            </w:r>
          </w:p>
          <w:p w14:paraId="1143E697" w14:textId="7D3C57F1" w:rsidR="00660887" w:rsidRDefault="00660887" w:rsidP="005C7690">
            <w:r>
              <w:t>Why no physical baseline?</w:t>
            </w:r>
          </w:p>
          <w:p w14:paraId="0D07D72D" w14:textId="59F4FE44" w:rsidR="00660887" w:rsidRDefault="00660887" w:rsidP="005C7690">
            <w:r>
              <w:t xml:space="preserve">Add details re: types of digital artifacts and </w:t>
            </w:r>
            <w:r w:rsidRPr="00426291">
              <w:rPr>
                <w:b/>
                <w:bCs/>
              </w:rPr>
              <w:t>associated standards</w:t>
            </w:r>
            <w:r>
              <w:t xml:space="preserve"> aligned to level of desired digital maturity</w:t>
            </w:r>
          </w:p>
          <w:p w14:paraId="238D915F" w14:textId="32463B03" w:rsidR="00660887" w:rsidRDefault="00660887" w:rsidP="005C7690">
            <w:r>
              <w:t>Doing the reviews incrementally and transparently on the journey rather than a big bang at the end (continuous reviews as artifacts are created/reviewed/released)</w:t>
            </w:r>
          </w:p>
          <w:p w14:paraId="3CDE6F37" w14:textId="24E90D74" w:rsidR="00660887" w:rsidRPr="00660887" w:rsidRDefault="00660887" w:rsidP="005C7690">
            <w:r>
              <w:t xml:space="preserve">Add specificity to ‘stored in the digital engineering ecosystem’ – e.g., </w:t>
            </w:r>
            <w:r w:rsidR="00FA7D04">
              <w:t xml:space="preserve">enterprise IDEs, </w:t>
            </w:r>
            <w:proofErr w:type="spellStart"/>
            <w:r w:rsidR="00FA7D04">
              <w:t>PoR</w:t>
            </w:r>
            <w:proofErr w:type="spellEnd"/>
            <w:r w:rsidR="00FA7D04">
              <w:t xml:space="preserve"> IDEs, OEM IDEs all okay?</w:t>
            </w:r>
          </w:p>
          <w:p w14:paraId="1B40EAA0" w14:textId="2A2B89F2" w:rsidR="005C7690" w:rsidRDefault="00FA7D04" w:rsidP="005C7690">
            <w:r w:rsidRPr="00FA7D04">
              <w:t>Need to consider ‘</w:t>
            </w:r>
            <w:r>
              <w:t xml:space="preserve">digital </w:t>
            </w:r>
            <w:r w:rsidRPr="00FA7D04">
              <w:t>artifacts as a service’</w:t>
            </w:r>
            <w:r>
              <w:t xml:space="preserve"> as part of a data management plan</w:t>
            </w:r>
          </w:p>
          <w:p w14:paraId="002F0FF2" w14:textId="17853446" w:rsidR="00FA7D04" w:rsidRDefault="00FA7D04" w:rsidP="005C7690">
            <w:r>
              <w:t>Need to make sure the development program conformed to the statement of work – are the ‘</w:t>
            </w:r>
            <w:proofErr w:type="spellStart"/>
            <w:r>
              <w:t>shalls</w:t>
            </w:r>
            <w:proofErr w:type="spellEnd"/>
            <w:r>
              <w:t xml:space="preserve"> in the SOW’ met?</w:t>
            </w:r>
          </w:p>
          <w:p w14:paraId="39305296" w14:textId="096C72B7" w:rsidR="00426291" w:rsidRPr="00FA7D04" w:rsidRDefault="00426291" w:rsidP="005C7690">
            <w:r>
              <w:t>Digital thread of SVR/FCA digital artifacts is also important; else you get a database that is a snapshot for the SVR/FCA event</w:t>
            </w:r>
          </w:p>
          <w:p w14:paraId="7F6713ED" w14:textId="370C5949" w:rsidR="005C7690" w:rsidRPr="00FA7D04" w:rsidRDefault="00FA7D04" w:rsidP="005C7690">
            <w:r w:rsidRPr="00FA7D04">
              <w:t xml:space="preserve">2c. Digital maturity is in the eye of the beholder – different programs at different points must tailor </w:t>
            </w:r>
            <w:r w:rsidR="00426291">
              <w:t xml:space="preserve">to </w:t>
            </w:r>
            <w:r w:rsidRPr="00FA7D04">
              <w:t>their targeted level of digital maturity</w:t>
            </w:r>
          </w:p>
          <w:p w14:paraId="0E7E930C" w14:textId="0665F5F9" w:rsidR="005C7690" w:rsidRPr="00B642A9" w:rsidRDefault="005C7690" w:rsidP="005C7690">
            <w:pPr>
              <w:rPr>
                <w:b/>
                <w:bCs/>
              </w:rPr>
            </w:pPr>
          </w:p>
          <w:p w14:paraId="610770E1" w14:textId="6B2492CF" w:rsidR="005C7690" w:rsidRPr="00B642A9" w:rsidRDefault="005C7690" w:rsidP="005C7690">
            <w:pPr>
              <w:rPr>
                <w:b/>
                <w:bCs/>
              </w:rPr>
            </w:pPr>
          </w:p>
          <w:p w14:paraId="11D6419C" w14:textId="78A0D738" w:rsidR="005C7690" w:rsidRPr="00B642A9" w:rsidRDefault="005C7690" w:rsidP="005C7690">
            <w:pPr>
              <w:rPr>
                <w:b/>
                <w:bCs/>
              </w:rPr>
            </w:pPr>
          </w:p>
          <w:p w14:paraId="0C83A46C" w14:textId="7D221D70" w:rsidR="005C7690" w:rsidRPr="00B642A9" w:rsidRDefault="005C7690" w:rsidP="005C7690">
            <w:pPr>
              <w:rPr>
                <w:b/>
                <w:bCs/>
              </w:rPr>
            </w:pPr>
          </w:p>
          <w:p w14:paraId="323EFBC1" w14:textId="08DE098F" w:rsidR="005C7690" w:rsidRPr="00B642A9" w:rsidRDefault="005C7690" w:rsidP="005C7690">
            <w:pPr>
              <w:rPr>
                <w:b/>
                <w:bCs/>
              </w:rPr>
            </w:pPr>
          </w:p>
          <w:p w14:paraId="45E6B92D" w14:textId="7BCE5995" w:rsidR="005C7690" w:rsidRPr="00B642A9" w:rsidRDefault="005C7690" w:rsidP="005C7690">
            <w:pPr>
              <w:rPr>
                <w:b/>
                <w:bCs/>
              </w:rPr>
            </w:pPr>
          </w:p>
          <w:p w14:paraId="45A5496B" w14:textId="6890ED59" w:rsidR="005C7690" w:rsidRPr="00B642A9" w:rsidRDefault="005C7690" w:rsidP="005C7690">
            <w:pPr>
              <w:rPr>
                <w:b/>
                <w:bCs/>
              </w:rPr>
            </w:pPr>
          </w:p>
          <w:p w14:paraId="65E8178F" w14:textId="73150520" w:rsidR="005C7690" w:rsidRPr="00B642A9" w:rsidRDefault="005C7690" w:rsidP="005C7690">
            <w:pPr>
              <w:rPr>
                <w:b/>
                <w:bCs/>
              </w:rPr>
            </w:pPr>
          </w:p>
          <w:p w14:paraId="70801D3E" w14:textId="28F8FEA8" w:rsidR="005C7690" w:rsidRPr="00B642A9" w:rsidRDefault="005C7690" w:rsidP="005C7690">
            <w:pPr>
              <w:rPr>
                <w:b/>
                <w:bCs/>
              </w:rPr>
            </w:pPr>
          </w:p>
          <w:p w14:paraId="4E62595E" w14:textId="5C114CF3" w:rsidR="005C7690" w:rsidRPr="00B642A9" w:rsidRDefault="005C7690" w:rsidP="005C7690">
            <w:pPr>
              <w:rPr>
                <w:b/>
                <w:bCs/>
              </w:rPr>
            </w:pPr>
          </w:p>
          <w:p w14:paraId="785B24C9" w14:textId="33E170AF" w:rsidR="005C7690" w:rsidRPr="00B642A9" w:rsidRDefault="005C7690" w:rsidP="005C7690">
            <w:pPr>
              <w:rPr>
                <w:b/>
                <w:bCs/>
              </w:rPr>
            </w:pPr>
          </w:p>
          <w:p w14:paraId="25ED89EA" w14:textId="6704361D" w:rsidR="00B25ED9" w:rsidRPr="00B642A9" w:rsidRDefault="00B25ED9" w:rsidP="005C7690">
            <w:pPr>
              <w:rPr>
                <w:b/>
                <w:bCs/>
              </w:rPr>
            </w:pPr>
          </w:p>
          <w:p w14:paraId="55C0367E" w14:textId="342FCBC9" w:rsidR="00D67F95" w:rsidRPr="2094B522" w:rsidRDefault="00D67F95" w:rsidP="005C7690">
            <w:pPr>
              <w:rPr>
                <w:b/>
                <w:bCs/>
              </w:rPr>
            </w:pPr>
          </w:p>
        </w:tc>
      </w:tr>
    </w:tbl>
    <w:p w14:paraId="56A53C45" w14:textId="69C6F970" w:rsidR="328B30DD" w:rsidRDefault="328B30DD" w:rsidP="328B30DD"/>
    <w:tbl>
      <w:tblPr>
        <w:tblStyle w:val="TableGrid"/>
        <w:tblW w:w="0" w:type="auto"/>
        <w:tblLook w:val="04A0" w:firstRow="1" w:lastRow="0" w:firstColumn="1" w:lastColumn="0" w:noHBand="0" w:noVBand="1"/>
      </w:tblPr>
      <w:tblGrid>
        <w:gridCol w:w="10615"/>
      </w:tblGrid>
      <w:tr w:rsidR="3D2C5891" w14:paraId="54D3C092" w14:textId="77777777" w:rsidTr="3D2C5891">
        <w:trPr>
          <w:trHeight w:val="300"/>
        </w:trPr>
        <w:tc>
          <w:tcPr>
            <w:tcW w:w="10615" w:type="dxa"/>
            <w:shd w:val="clear" w:color="auto" w:fill="FFFFFF" w:themeFill="background1"/>
          </w:tcPr>
          <w:p w14:paraId="03BABC2A" w14:textId="25F61BDB" w:rsidR="469F76D0" w:rsidRDefault="469F76D0" w:rsidP="3D2C5891">
            <w:pPr>
              <w:rPr>
                <w:b/>
                <w:bCs/>
              </w:rPr>
            </w:pPr>
            <w:r w:rsidRPr="3D2C5891">
              <w:rPr>
                <w:b/>
                <w:bCs/>
              </w:rPr>
              <w:t xml:space="preserve">Table Number:     </w:t>
            </w:r>
            <w:r w:rsidR="006C7E49">
              <w:rPr>
                <w:b/>
                <w:bCs/>
              </w:rPr>
              <w:t>SVR/FCA</w:t>
            </w:r>
            <w:r w:rsidRPr="3D2C5891">
              <w:rPr>
                <w:b/>
                <w:bCs/>
              </w:rPr>
              <w:t xml:space="preserve">                                                    Facilitator Name:</w:t>
            </w:r>
            <w:r w:rsidR="006C7E49">
              <w:rPr>
                <w:b/>
                <w:bCs/>
              </w:rPr>
              <w:t xml:space="preserve"> Pam Kobryn</w:t>
            </w:r>
          </w:p>
        </w:tc>
      </w:tr>
      <w:tr w:rsidR="328B30DD" w14:paraId="7CF33BBF" w14:textId="77777777" w:rsidTr="3D2C5891">
        <w:trPr>
          <w:trHeight w:val="300"/>
        </w:trPr>
        <w:tc>
          <w:tcPr>
            <w:tcW w:w="10615" w:type="dxa"/>
            <w:shd w:val="clear" w:color="auto" w:fill="FFC000"/>
          </w:tcPr>
          <w:p w14:paraId="05891D9D" w14:textId="06AA6357" w:rsidR="328B30DD" w:rsidRDefault="328B30DD" w:rsidP="328B30DD">
            <w:pPr>
              <w:rPr>
                <w:b/>
                <w:bCs/>
              </w:rPr>
            </w:pPr>
            <w:r w:rsidRPr="328B30DD">
              <w:rPr>
                <w:b/>
                <w:bCs/>
              </w:rPr>
              <w:t>Session 2:  Future State of Technical Reviews</w:t>
            </w:r>
          </w:p>
        </w:tc>
      </w:tr>
      <w:tr w:rsidR="328B30DD" w14:paraId="412F5A94" w14:textId="77777777" w:rsidTr="3D2C5891">
        <w:trPr>
          <w:trHeight w:val="300"/>
        </w:trPr>
        <w:tc>
          <w:tcPr>
            <w:tcW w:w="10615" w:type="dxa"/>
          </w:tcPr>
          <w:p w14:paraId="4F74E965" w14:textId="358C4363" w:rsidR="328B30DD" w:rsidRDefault="328B30DD">
            <w:r>
              <w:t xml:space="preserve">Under the premise that we are now in 2045 where DMM has been actualized, what would the process </w:t>
            </w:r>
            <w:proofErr w:type="gramStart"/>
            <w:r>
              <w:t>of  technical</w:t>
            </w:r>
            <w:proofErr w:type="gramEnd"/>
            <w:r>
              <w:t xml:space="preserve"> reviews be? </w:t>
            </w:r>
          </w:p>
          <w:p w14:paraId="59D2303C" w14:textId="6C1BECA4" w:rsidR="328B30DD" w:rsidRDefault="328B30DD"/>
          <w:p w14:paraId="39D6197C" w14:textId="62396905" w:rsidR="328B30DD" w:rsidRDefault="328B30DD" w:rsidP="328B30DD">
            <w:pPr>
              <w:rPr>
                <w:rFonts w:eastAsiaTheme="minorEastAsia"/>
              </w:rPr>
            </w:pPr>
            <w:r w:rsidRPr="328B30DD">
              <w:rPr>
                <w:rFonts w:eastAsiaTheme="minorEastAsia"/>
              </w:rPr>
              <w:t>1. How would you change / eliminate / redesign the technical reviews in this new world?</w:t>
            </w:r>
          </w:p>
          <w:p w14:paraId="43D2EF6E" w14:textId="33AAD8F8" w:rsidR="328B30DD" w:rsidRDefault="328B30DD" w:rsidP="328B30DD">
            <w:pPr>
              <w:rPr>
                <w:rFonts w:eastAsiaTheme="minorEastAsia"/>
              </w:rPr>
            </w:pPr>
            <w:r w:rsidRPr="328B30DD">
              <w:rPr>
                <w:rFonts w:eastAsiaTheme="minorEastAsia"/>
              </w:rPr>
              <w:t>2. Map out the new technical reviews process to make it a reality</w:t>
            </w:r>
          </w:p>
          <w:p w14:paraId="64CCD4C6" w14:textId="46E8D609" w:rsidR="328B30DD" w:rsidRDefault="328B30DD" w:rsidP="328B30DD">
            <w:pPr>
              <w:rPr>
                <w:rFonts w:eastAsiaTheme="minorEastAsia"/>
              </w:rPr>
            </w:pPr>
          </w:p>
          <w:p w14:paraId="63EEAFCD" w14:textId="31587E02" w:rsidR="0058249F" w:rsidRDefault="0058249F" w:rsidP="328B30DD">
            <w:pPr>
              <w:rPr>
                <w:rFonts w:eastAsiaTheme="minorEastAsia"/>
              </w:rPr>
            </w:pPr>
            <w:r>
              <w:rPr>
                <w:rFonts w:eastAsiaTheme="minorEastAsia"/>
              </w:rPr>
              <w:t>1.</w:t>
            </w:r>
          </w:p>
          <w:p w14:paraId="71F92D7F" w14:textId="1B988C4A" w:rsidR="328B30DD" w:rsidRPr="000D0695" w:rsidRDefault="000D0695" w:rsidP="000D0695">
            <w:pPr>
              <w:pStyle w:val="ListParagraph"/>
              <w:numPr>
                <w:ilvl w:val="0"/>
                <w:numId w:val="9"/>
              </w:numPr>
              <w:rPr>
                <w:rFonts w:eastAsiaTheme="minorEastAsia"/>
              </w:rPr>
            </w:pPr>
            <w:r w:rsidRPr="000D0695">
              <w:rPr>
                <w:rFonts w:eastAsiaTheme="minorEastAsia"/>
              </w:rPr>
              <w:t xml:space="preserve">Persistent, always-updated visualization connected to the real data that shows </w:t>
            </w:r>
            <w:proofErr w:type="gramStart"/>
            <w:r w:rsidRPr="000D0695">
              <w:rPr>
                <w:rFonts w:eastAsiaTheme="minorEastAsia"/>
              </w:rPr>
              <w:t>status  at</w:t>
            </w:r>
            <w:proofErr w:type="gramEnd"/>
            <w:r w:rsidRPr="000D0695">
              <w:rPr>
                <w:rFonts w:eastAsiaTheme="minorEastAsia"/>
              </w:rPr>
              <w:t xml:space="preserve"> all times– only have reviews when something changes or to confirm everything is good</w:t>
            </w:r>
            <w:r w:rsidR="00085377">
              <w:rPr>
                <w:rFonts w:eastAsiaTheme="minorEastAsia"/>
              </w:rPr>
              <w:t xml:space="preserve"> – use of easy-to-interpret graphics to show </w:t>
            </w:r>
            <w:r w:rsidR="00A44EB8">
              <w:rPr>
                <w:rFonts w:eastAsiaTheme="minorEastAsia"/>
              </w:rPr>
              <w:t xml:space="preserve">gaps and </w:t>
            </w:r>
            <w:r w:rsidR="00085377">
              <w:rPr>
                <w:rFonts w:eastAsiaTheme="minorEastAsia"/>
              </w:rPr>
              <w:t>areas of risk</w:t>
            </w:r>
          </w:p>
          <w:p w14:paraId="310DF054" w14:textId="59CD1AC8" w:rsidR="000D0695" w:rsidRPr="000D0695" w:rsidRDefault="000D0695" w:rsidP="000D0695">
            <w:pPr>
              <w:pStyle w:val="ListParagraph"/>
              <w:numPr>
                <w:ilvl w:val="0"/>
                <w:numId w:val="9"/>
              </w:numPr>
              <w:rPr>
                <w:rFonts w:eastAsiaTheme="minorEastAsia"/>
              </w:rPr>
            </w:pPr>
            <w:r w:rsidRPr="000D0695">
              <w:rPr>
                <w:rFonts w:eastAsiaTheme="minorEastAsia"/>
              </w:rPr>
              <w:t>Gov’t needs specific functional leads for domain areas to be persistently engaged w/ the contractor’s technical team</w:t>
            </w:r>
          </w:p>
          <w:p w14:paraId="2957AAD6" w14:textId="7929A751" w:rsidR="000D0695" w:rsidRDefault="000D0695" w:rsidP="000D0695">
            <w:pPr>
              <w:pStyle w:val="ListParagraph"/>
              <w:numPr>
                <w:ilvl w:val="0"/>
                <w:numId w:val="9"/>
              </w:numPr>
              <w:rPr>
                <w:rFonts w:eastAsiaTheme="minorEastAsia"/>
              </w:rPr>
            </w:pPr>
            <w:r w:rsidRPr="000D0695">
              <w:rPr>
                <w:rFonts w:eastAsiaTheme="minorEastAsia"/>
              </w:rPr>
              <w:t>Need a smaller review to confirm authorization to proceed – ‘go for launch’</w:t>
            </w:r>
          </w:p>
          <w:p w14:paraId="4A155FBE" w14:textId="03B0E803" w:rsidR="000D0695" w:rsidRDefault="000D0695" w:rsidP="000D0695">
            <w:pPr>
              <w:pStyle w:val="ListParagraph"/>
              <w:numPr>
                <w:ilvl w:val="0"/>
                <w:numId w:val="9"/>
              </w:numPr>
              <w:rPr>
                <w:rFonts w:eastAsiaTheme="minorEastAsia"/>
              </w:rPr>
            </w:pPr>
            <w:r>
              <w:rPr>
                <w:rFonts w:eastAsiaTheme="minorEastAsia"/>
              </w:rPr>
              <w:t>Fully defined JSE; fully defined standards; GenAI agent checks the models/data (structured and unstructured) and flags stuff for the human to engage; perfect requirements; WBS defines the criteria based on knowledge of the program and the ecosystem; dashboard shows status</w:t>
            </w:r>
          </w:p>
          <w:p w14:paraId="79687D1D" w14:textId="5D813598" w:rsidR="000D0695" w:rsidRDefault="00085377" w:rsidP="000D0695">
            <w:pPr>
              <w:pStyle w:val="ListParagraph"/>
              <w:numPr>
                <w:ilvl w:val="0"/>
                <w:numId w:val="9"/>
              </w:numPr>
              <w:rPr>
                <w:rFonts w:eastAsiaTheme="minorEastAsia"/>
              </w:rPr>
            </w:pPr>
            <w:r>
              <w:rPr>
                <w:rFonts w:eastAsiaTheme="minorEastAsia"/>
              </w:rPr>
              <w:t>Combine AI and Digital Thread: AI Agent crawls through digital artifacts and delivers insights</w:t>
            </w:r>
          </w:p>
          <w:p w14:paraId="1C5195EA" w14:textId="1E0727FC" w:rsidR="00085377" w:rsidRDefault="00085377" w:rsidP="000D0695">
            <w:pPr>
              <w:pStyle w:val="ListParagraph"/>
              <w:numPr>
                <w:ilvl w:val="0"/>
                <w:numId w:val="9"/>
              </w:numPr>
              <w:rPr>
                <w:rFonts w:eastAsiaTheme="minorEastAsia"/>
              </w:rPr>
            </w:pPr>
            <w:r>
              <w:rPr>
                <w:rFonts w:eastAsiaTheme="minorEastAsia"/>
              </w:rPr>
              <w:t>Digital stuff is automagically configured and displayed for each consumer/stakeholder</w:t>
            </w:r>
          </w:p>
          <w:p w14:paraId="7097B947" w14:textId="298F4E02" w:rsidR="00085377" w:rsidRDefault="00085377" w:rsidP="000D0695">
            <w:pPr>
              <w:pStyle w:val="ListParagraph"/>
              <w:numPr>
                <w:ilvl w:val="0"/>
                <w:numId w:val="9"/>
              </w:numPr>
              <w:rPr>
                <w:rFonts w:eastAsiaTheme="minorEastAsia"/>
              </w:rPr>
            </w:pPr>
            <w:proofErr w:type="spellStart"/>
            <w:r>
              <w:rPr>
                <w:rFonts w:eastAsiaTheme="minorEastAsia"/>
              </w:rPr>
              <w:t>SysEng</w:t>
            </w:r>
            <w:proofErr w:type="spellEnd"/>
            <w:r>
              <w:rPr>
                <w:rFonts w:eastAsiaTheme="minorEastAsia"/>
              </w:rPr>
              <w:t xml:space="preserve"> &amp; s/w engineering are coming together – sim can be used to show the customer that the system is going to perform the way it is intended to perform w/o the customer needing to know the details of </w:t>
            </w:r>
            <w:proofErr w:type="spellStart"/>
            <w:r>
              <w:rPr>
                <w:rFonts w:eastAsiaTheme="minorEastAsia"/>
              </w:rPr>
              <w:t>SysML</w:t>
            </w:r>
            <w:proofErr w:type="spellEnd"/>
            <w:r>
              <w:rPr>
                <w:rFonts w:eastAsiaTheme="minorEastAsia"/>
              </w:rPr>
              <w:t>, etc.; the sim builds over time as the program matures; more VV&amp;A from sim earlier in the program – physical VV&amp;A not eliminated, but augmented w/ physical test</w:t>
            </w:r>
          </w:p>
          <w:p w14:paraId="7D6374FF" w14:textId="3BF9A82E" w:rsidR="00085377" w:rsidRDefault="00A44EB8" w:rsidP="000D0695">
            <w:pPr>
              <w:pStyle w:val="ListParagraph"/>
              <w:numPr>
                <w:ilvl w:val="0"/>
                <w:numId w:val="9"/>
              </w:numPr>
              <w:rPr>
                <w:rFonts w:eastAsiaTheme="minorEastAsia"/>
              </w:rPr>
            </w:pPr>
            <w:r>
              <w:rPr>
                <w:rFonts w:eastAsiaTheme="minorEastAsia"/>
              </w:rPr>
              <w:t>Gov’t owns a digital baseline that is composable – contractors can plug their stuff into it</w:t>
            </w:r>
          </w:p>
          <w:p w14:paraId="1FB15F58" w14:textId="3B951ADD" w:rsidR="00A44EB8" w:rsidRDefault="00A44EB8" w:rsidP="000D0695">
            <w:pPr>
              <w:pStyle w:val="ListParagraph"/>
              <w:numPr>
                <w:ilvl w:val="0"/>
                <w:numId w:val="9"/>
              </w:numPr>
              <w:rPr>
                <w:rFonts w:eastAsiaTheme="minorEastAsia"/>
              </w:rPr>
            </w:pPr>
            <w:r>
              <w:rPr>
                <w:rFonts w:eastAsiaTheme="minorEastAsia"/>
              </w:rPr>
              <w:t>Reviews focus on how to handle risks – can we move forward with acceptable risk, and what, if anything, will we do to monitor and burn down the accepted risk? Setting guardrails and different thresholds for compliance at different stages in a program – make it easier for the humans to discuss and decide</w:t>
            </w:r>
          </w:p>
          <w:p w14:paraId="525A9C14" w14:textId="5FD54011" w:rsidR="005F27B6" w:rsidRDefault="005F27B6" w:rsidP="000D0695">
            <w:pPr>
              <w:pStyle w:val="ListParagraph"/>
              <w:numPr>
                <w:ilvl w:val="0"/>
                <w:numId w:val="9"/>
              </w:numPr>
              <w:rPr>
                <w:rFonts w:eastAsiaTheme="minorEastAsia"/>
              </w:rPr>
            </w:pPr>
            <w:r>
              <w:rPr>
                <w:rFonts w:eastAsiaTheme="minorEastAsia"/>
              </w:rPr>
              <w:t xml:space="preserve">Fidelity of compliance assessment improves as the program progresses – you tighten the criteria as you go; can’t </w:t>
            </w:r>
            <w:proofErr w:type="gramStart"/>
            <w:r>
              <w:rPr>
                <w:rFonts w:eastAsiaTheme="minorEastAsia"/>
              </w:rPr>
              <w:t>completely eliminate</w:t>
            </w:r>
            <w:proofErr w:type="gramEnd"/>
            <w:r>
              <w:rPr>
                <w:rFonts w:eastAsiaTheme="minorEastAsia"/>
              </w:rPr>
              <w:t xml:space="preserve"> entrance and exist criteria if they are tied to contractor payments – need to have an objective way of assessing progress towards delivering a viable system</w:t>
            </w:r>
          </w:p>
          <w:p w14:paraId="28B4EAE7" w14:textId="750AA0EC" w:rsidR="005F27B6" w:rsidRDefault="005F27B6" w:rsidP="000841DD">
            <w:pPr>
              <w:rPr>
                <w:rFonts w:eastAsiaTheme="minorEastAsia"/>
              </w:rPr>
            </w:pPr>
          </w:p>
          <w:p w14:paraId="059001B9" w14:textId="2AE6E5C0" w:rsidR="0058249F" w:rsidRDefault="0058249F" w:rsidP="000841DD">
            <w:pPr>
              <w:rPr>
                <w:rFonts w:eastAsiaTheme="minorEastAsia"/>
              </w:rPr>
            </w:pPr>
            <w:r>
              <w:rPr>
                <w:rFonts w:eastAsiaTheme="minorEastAsia"/>
              </w:rPr>
              <w:t>2.</w:t>
            </w:r>
          </w:p>
          <w:p w14:paraId="3F2FF93C" w14:textId="1D955950" w:rsidR="000841DD" w:rsidRPr="00C73598" w:rsidRDefault="000841DD" w:rsidP="00C73598">
            <w:pPr>
              <w:pStyle w:val="ListParagraph"/>
              <w:numPr>
                <w:ilvl w:val="0"/>
                <w:numId w:val="9"/>
              </w:numPr>
              <w:rPr>
                <w:rFonts w:eastAsiaTheme="minorEastAsia"/>
              </w:rPr>
            </w:pPr>
            <w:r w:rsidRPr="00C73598">
              <w:rPr>
                <w:rFonts w:eastAsiaTheme="minorEastAsia"/>
              </w:rPr>
              <w:t>New SETR process focuses on gates for proceeding w/ next part of the program w/ acceptable risk</w:t>
            </w:r>
          </w:p>
          <w:p w14:paraId="2E994195" w14:textId="58B1DCE8" w:rsidR="000841DD" w:rsidRDefault="000841DD" w:rsidP="00C73598">
            <w:pPr>
              <w:pStyle w:val="ListParagraph"/>
              <w:numPr>
                <w:ilvl w:val="0"/>
                <w:numId w:val="10"/>
              </w:numPr>
              <w:ind w:firstLine="278"/>
              <w:rPr>
                <w:rFonts w:eastAsiaTheme="minorEastAsia"/>
              </w:rPr>
            </w:pPr>
            <w:r>
              <w:rPr>
                <w:rFonts w:eastAsiaTheme="minorEastAsia"/>
              </w:rPr>
              <w:t>Problem space</w:t>
            </w:r>
          </w:p>
          <w:p w14:paraId="24F78C85" w14:textId="52C4E477" w:rsidR="000841DD" w:rsidRDefault="000841DD" w:rsidP="00C73598">
            <w:pPr>
              <w:pStyle w:val="ListParagraph"/>
              <w:numPr>
                <w:ilvl w:val="0"/>
                <w:numId w:val="10"/>
              </w:numPr>
              <w:ind w:firstLine="278"/>
              <w:rPr>
                <w:rFonts w:eastAsiaTheme="minorEastAsia"/>
              </w:rPr>
            </w:pPr>
            <w:r>
              <w:rPr>
                <w:rFonts w:eastAsiaTheme="minorEastAsia"/>
              </w:rPr>
              <w:lastRenderedPageBreak/>
              <w:t>Design space</w:t>
            </w:r>
          </w:p>
          <w:p w14:paraId="79E046C6" w14:textId="7CBB09D7" w:rsidR="000841DD" w:rsidRDefault="000841DD" w:rsidP="00C73598">
            <w:pPr>
              <w:pStyle w:val="ListParagraph"/>
              <w:numPr>
                <w:ilvl w:val="0"/>
                <w:numId w:val="10"/>
              </w:numPr>
              <w:ind w:firstLine="278"/>
              <w:rPr>
                <w:rFonts w:eastAsiaTheme="minorEastAsia"/>
              </w:rPr>
            </w:pPr>
            <w:r>
              <w:rPr>
                <w:rFonts w:eastAsiaTheme="minorEastAsia"/>
              </w:rPr>
              <w:t>Build / integration space</w:t>
            </w:r>
          </w:p>
          <w:p w14:paraId="6DC7E0B0" w14:textId="6D7715FD" w:rsidR="000841DD" w:rsidRDefault="000841DD" w:rsidP="00C73598">
            <w:pPr>
              <w:pStyle w:val="ListParagraph"/>
              <w:numPr>
                <w:ilvl w:val="0"/>
                <w:numId w:val="10"/>
              </w:numPr>
              <w:ind w:firstLine="278"/>
              <w:rPr>
                <w:rFonts w:eastAsiaTheme="minorEastAsia"/>
              </w:rPr>
            </w:pPr>
            <w:r>
              <w:rPr>
                <w:rFonts w:eastAsiaTheme="minorEastAsia"/>
              </w:rPr>
              <w:t>Verification space</w:t>
            </w:r>
          </w:p>
          <w:p w14:paraId="7464A5A1" w14:textId="77777777" w:rsidR="00C73598" w:rsidRDefault="00C73598" w:rsidP="00C73598">
            <w:pPr>
              <w:pStyle w:val="ListParagraph"/>
              <w:ind w:left="510"/>
              <w:rPr>
                <w:rFonts w:eastAsiaTheme="minorEastAsia"/>
              </w:rPr>
            </w:pPr>
          </w:p>
          <w:p w14:paraId="0E6A4178" w14:textId="1EE161B0" w:rsidR="000841DD" w:rsidRDefault="000841DD" w:rsidP="00C73598">
            <w:pPr>
              <w:pStyle w:val="ListParagraph"/>
              <w:numPr>
                <w:ilvl w:val="0"/>
                <w:numId w:val="9"/>
              </w:numPr>
              <w:rPr>
                <w:rFonts w:eastAsiaTheme="minorEastAsia"/>
              </w:rPr>
            </w:pPr>
            <w:r>
              <w:rPr>
                <w:rFonts w:eastAsiaTheme="minorEastAsia"/>
              </w:rPr>
              <w:t>Need to start way before SRR!!!!!</w:t>
            </w:r>
          </w:p>
          <w:p w14:paraId="4BE2F3F1" w14:textId="0604FE37" w:rsidR="000841DD" w:rsidRDefault="000841DD" w:rsidP="00C73598">
            <w:pPr>
              <w:pStyle w:val="ListParagraph"/>
              <w:numPr>
                <w:ilvl w:val="0"/>
                <w:numId w:val="9"/>
              </w:numPr>
              <w:rPr>
                <w:rFonts w:eastAsiaTheme="minorEastAsia"/>
              </w:rPr>
            </w:pPr>
            <w:r>
              <w:rPr>
                <w:rFonts w:eastAsiaTheme="minorEastAsia"/>
              </w:rPr>
              <w:t>Need to focus on assessing risk – threat posture</w:t>
            </w:r>
            <w:r w:rsidR="00324A1B">
              <w:rPr>
                <w:rFonts w:eastAsiaTheme="minorEastAsia"/>
              </w:rPr>
              <w:t xml:space="preserve"> is relevant – might want to accept more risk to go faster – this can’t be a zero-risk process!</w:t>
            </w:r>
          </w:p>
          <w:p w14:paraId="63038F22" w14:textId="051BB991" w:rsidR="00324A1B" w:rsidRDefault="00324A1B" w:rsidP="00C73598">
            <w:pPr>
              <w:pStyle w:val="ListParagraph"/>
              <w:numPr>
                <w:ilvl w:val="0"/>
                <w:numId w:val="9"/>
              </w:numPr>
              <w:rPr>
                <w:rFonts w:eastAsiaTheme="minorEastAsia"/>
              </w:rPr>
            </w:pPr>
            <w:r>
              <w:rPr>
                <w:rFonts w:eastAsiaTheme="minorEastAsia"/>
              </w:rPr>
              <w:t>At a high level, some reviews can be combined</w:t>
            </w:r>
          </w:p>
          <w:p w14:paraId="12D1F166" w14:textId="4108EA06" w:rsidR="00324A1B" w:rsidRDefault="00324A1B" w:rsidP="00C73598">
            <w:pPr>
              <w:pStyle w:val="ListParagraph"/>
              <w:numPr>
                <w:ilvl w:val="0"/>
                <w:numId w:val="9"/>
              </w:numPr>
              <w:rPr>
                <w:rFonts w:eastAsiaTheme="minorEastAsia"/>
              </w:rPr>
            </w:pPr>
            <w:r>
              <w:rPr>
                <w:rFonts w:eastAsiaTheme="minorEastAsia"/>
              </w:rPr>
              <w:t>Different parts of a system can go through the SETRs at different times</w:t>
            </w:r>
          </w:p>
          <w:p w14:paraId="341D2DB0" w14:textId="4FAB9EB9" w:rsidR="00324A1B" w:rsidRDefault="00324A1B" w:rsidP="00C73598">
            <w:pPr>
              <w:pStyle w:val="ListParagraph"/>
              <w:numPr>
                <w:ilvl w:val="0"/>
                <w:numId w:val="9"/>
              </w:numPr>
              <w:rPr>
                <w:rFonts w:eastAsiaTheme="minorEastAsia"/>
              </w:rPr>
            </w:pPr>
            <w:r>
              <w:rPr>
                <w:rFonts w:eastAsiaTheme="minorEastAsia"/>
              </w:rPr>
              <w:t xml:space="preserve">Can trade </w:t>
            </w:r>
            <w:r w:rsidR="007439D6">
              <w:rPr>
                <w:rFonts w:eastAsiaTheme="minorEastAsia"/>
              </w:rPr>
              <w:t>depth of SETRs</w:t>
            </w:r>
            <w:r>
              <w:rPr>
                <w:rFonts w:eastAsiaTheme="minorEastAsia"/>
              </w:rPr>
              <w:t xml:space="preserve"> for trust</w:t>
            </w:r>
            <w:r w:rsidR="007439D6">
              <w:rPr>
                <w:rFonts w:eastAsiaTheme="minorEastAsia"/>
              </w:rPr>
              <w:t xml:space="preserve"> in the automated systems that are being used to assess the baseline to go faster</w:t>
            </w:r>
          </w:p>
          <w:p w14:paraId="3F4087FF" w14:textId="40CF6E2F" w:rsidR="00324A1B" w:rsidRPr="000841DD" w:rsidRDefault="00324A1B" w:rsidP="00C73598">
            <w:pPr>
              <w:pStyle w:val="ListParagraph"/>
              <w:numPr>
                <w:ilvl w:val="0"/>
                <w:numId w:val="9"/>
              </w:numPr>
              <w:rPr>
                <w:rFonts w:eastAsiaTheme="minorEastAsia"/>
              </w:rPr>
            </w:pPr>
            <w:r>
              <w:rPr>
                <w:rFonts w:eastAsiaTheme="minorEastAsia"/>
              </w:rPr>
              <w:t>Need to get better insight into where margin comes from and why it exists</w:t>
            </w:r>
            <w:r w:rsidR="007439D6">
              <w:rPr>
                <w:rFonts w:eastAsiaTheme="minorEastAsia"/>
              </w:rPr>
              <w:t xml:space="preserve"> – lack of confidence in how the user will use the system vs. level of confidence in design systems, manufacturing systems, testing</w:t>
            </w:r>
            <w:r w:rsidR="00546920">
              <w:rPr>
                <w:rFonts w:eastAsiaTheme="minorEastAsia"/>
              </w:rPr>
              <w:t xml:space="preserve"> vs. holding margin for future envelope expansion</w:t>
            </w:r>
          </w:p>
          <w:p w14:paraId="62731E24" w14:textId="793765DD" w:rsidR="328B30DD" w:rsidRDefault="00B651C7" w:rsidP="00C73598">
            <w:pPr>
              <w:pStyle w:val="ListParagraph"/>
              <w:numPr>
                <w:ilvl w:val="0"/>
                <w:numId w:val="9"/>
              </w:numPr>
              <w:rPr>
                <w:rFonts w:eastAsiaTheme="minorEastAsia"/>
              </w:rPr>
            </w:pPr>
            <w:r>
              <w:rPr>
                <w:rFonts w:eastAsiaTheme="minorEastAsia"/>
              </w:rPr>
              <w:t xml:space="preserve">Role of the government in using the digital ecosystem to define entrance/exit criteria up front </w:t>
            </w:r>
            <w:r w:rsidR="002D318D">
              <w:rPr>
                <w:rFonts w:eastAsiaTheme="minorEastAsia"/>
              </w:rPr>
              <w:t xml:space="preserve">– leveraging artifacts in the digital ecosystem and GenAI to gain insight - </w:t>
            </w:r>
            <w:r>
              <w:rPr>
                <w:rFonts w:eastAsiaTheme="minorEastAsia"/>
              </w:rPr>
              <w:t>and owning the technical baseline all along; working with the contractor and updating the S</w:t>
            </w:r>
            <w:r w:rsidR="00546920">
              <w:rPr>
                <w:rFonts w:eastAsiaTheme="minorEastAsia"/>
              </w:rPr>
              <w:t xml:space="preserve">ervice </w:t>
            </w:r>
            <w:proofErr w:type="spellStart"/>
            <w:r>
              <w:rPr>
                <w:rFonts w:eastAsiaTheme="minorEastAsia"/>
              </w:rPr>
              <w:t>A</w:t>
            </w:r>
            <w:r w:rsidR="00546920">
              <w:rPr>
                <w:rFonts w:eastAsiaTheme="minorEastAsia"/>
              </w:rPr>
              <w:t>cq</w:t>
            </w:r>
            <w:proofErr w:type="spellEnd"/>
            <w:r w:rsidR="00546920">
              <w:rPr>
                <w:rFonts w:eastAsiaTheme="minorEastAsia"/>
              </w:rPr>
              <w:t xml:space="preserve"> </w:t>
            </w:r>
            <w:r>
              <w:rPr>
                <w:rFonts w:eastAsiaTheme="minorEastAsia"/>
              </w:rPr>
              <w:t>E</w:t>
            </w:r>
            <w:r w:rsidR="00546920">
              <w:rPr>
                <w:rFonts w:eastAsiaTheme="minorEastAsia"/>
              </w:rPr>
              <w:t>xec (vs contractor updating the SAE)</w:t>
            </w:r>
          </w:p>
          <w:p w14:paraId="359BED72" w14:textId="0679ED9E" w:rsidR="00C60516" w:rsidRDefault="00C60516" w:rsidP="00C73598">
            <w:pPr>
              <w:pStyle w:val="ListParagraph"/>
              <w:numPr>
                <w:ilvl w:val="0"/>
                <w:numId w:val="9"/>
              </w:numPr>
              <w:rPr>
                <w:rFonts w:eastAsiaTheme="minorEastAsia"/>
              </w:rPr>
            </w:pPr>
            <w:r>
              <w:rPr>
                <w:rFonts w:eastAsiaTheme="minorEastAsia"/>
              </w:rPr>
              <w:t>Gov needs to strike the right balance of getting into the details and being overly intrusive – needs to focus on most important things, not the things the SME is curious about</w:t>
            </w:r>
          </w:p>
          <w:p w14:paraId="75AC3A2D" w14:textId="4B7DE69D" w:rsidR="328B30DD" w:rsidRDefault="328B30DD" w:rsidP="328B30DD">
            <w:pPr>
              <w:rPr>
                <w:rFonts w:eastAsiaTheme="minorEastAsia"/>
              </w:rPr>
            </w:pPr>
          </w:p>
          <w:p w14:paraId="7F7ADBE4" w14:textId="2252E954" w:rsidR="328B30DD" w:rsidRDefault="328B30DD" w:rsidP="328B30DD">
            <w:pPr>
              <w:rPr>
                <w:rFonts w:eastAsiaTheme="minorEastAsia"/>
              </w:rPr>
            </w:pPr>
          </w:p>
          <w:p w14:paraId="5500E6C8" w14:textId="2453685D" w:rsidR="328B30DD" w:rsidRDefault="328B30DD" w:rsidP="328B30DD">
            <w:pPr>
              <w:rPr>
                <w:rFonts w:eastAsiaTheme="minorEastAsia"/>
              </w:rPr>
            </w:pPr>
          </w:p>
          <w:p w14:paraId="1B65B07D" w14:textId="745C73C4" w:rsidR="328B30DD" w:rsidRDefault="328B30DD" w:rsidP="328B30DD">
            <w:pPr>
              <w:rPr>
                <w:rFonts w:eastAsiaTheme="minorEastAsia"/>
              </w:rPr>
            </w:pPr>
          </w:p>
          <w:p w14:paraId="3711B78C" w14:textId="5D2645A5" w:rsidR="328B30DD" w:rsidRDefault="328B30DD" w:rsidP="328B30DD">
            <w:pPr>
              <w:rPr>
                <w:rFonts w:eastAsiaTheme="minorEastAsia"/>
              </w:rPr>
            </w:pPr>
          </w:p>
          <w:p w14:paraId="298901FB" w14:textId="41770E07" w:rsidR="328B30DD" w:rsidRDefault="328B30DD" w:rsidP="328B30DD">
            <w:pPr>
              <w:rPr>
                <w:rFonts w:eastAsiaTheme="minorEastAsia"/>
              </w:rPr>
            </w:pPr>
          </w:p>
          <w:p w14:paraId="3220EE92" w14:textId="11BB1C94" w:rsidR="328B30DD" w:rsidRDefault="328B30DD" w:rsidP="328B30DD">
            <w:pPr>
              <w:rPr>
                <w:rFonts w:eastAsiaTheme="minorEastAsia"/>
              </w:rPr>
            </w:pPr>
          </w:p>
          <w:p w14:paraId="01E4EBCA" w14:textId="0E49950E" w:rsidR="328B30DD" w:rsidRDefault="328B30DD" w:rsidP="328B30DD">
            <w:pPr>
              <w:rPr>
                <w:rFonts w:eastAsiaTheme="minorEastAsia"/>
              </w:rPr>
            </w:pPr>
          </w:p>
          <w:p w14:paraId="59CBBFB4" w14:textId="76375049" w:rsidR="328B30DD" w:rsidRDefault="328B30DD" w:rsidP="328B30DD">
            <w:pPr>
              <w:rPr>
                <w:rFonts w:eastAsiaTheme="minorEastAsia"/>
              </w:rPr>
            </w:pPr>
          </w:p>
          <w:p w14:paraId="294D687B" w14:textId="6BE08638" w:rsidR="328B30DD" w:rsidRDefault="328B30DD" w:rsidP="328B30DD">
            <w:pPr>
              <w:rPr>
                <w:rFonts w:eastAsiaTheme="minorEastAsia"/>
              </w:rPr>
            </w:pPr>
          </w:p>
          <w:p w14:paraId="43295132" w14:textId="50D68BDE" w:rsidR="328B30DD" w:rsidRDefault="328B30DD" w:rsidP="328B30DD">
            <w:pPr>
              <w:rPr>
                <w:rFonts w:eastAsiaTheme="minorEastAsia"/>
              </w:rPr>
            </w:pPr>
          </w:p>
          <w:p w14:paraId="07885903" w14:textId="704B4FD1" w:rsidR="328B30DD" w:rsidRDefault="328B30DD" w:rsidP="328B30DD">
            <w:pPr>
              <w:rPr>
                <w:rFonts w:eastAsiaTheme="minorEastAsia"/>
              </w:rPr>
            </w:pPr>
          </w:p>
          <w:p w14:paraId="263B35BD" w14:textId="7A647954" w:rsidR="328B30DD" w:rsidRDefault="328B30DD" w:rsidP="328B30DD">
            <w:pPr>
              <w:rPr>
                <w:rFonts w:eastAsiaTheme="minorEastAsia"/>
              </w:rPr>
            </w:pPr>
          </w:p>
          <w:p w14:paraId="5484970A" w14:textId="7AD65623" w:rsidR="328B30DD" w:rsidRDefault="328B30DD" w:rsidP="328B30DD">
            <w:pPr>
              <w:rPr>
                <w:rFonts w:eastAsiaTheme="minorEastAsia"/>
              </w:rPr>
            </w:pPr>
          </w:p>
          <w:p w14:paraId="789C4C07" w14:textId="1BE42B98" w:rsidR="328B30DD" w:rsidRDefault="328B30DD" w:rsidP="328B30DD">
            <w:pPr>
              <w:rPr>
                <w:rFonts w:eastAsiaTheme="minorEastAsia"/>
              </w:rPr>
            </w:pPr>
          </w:p>
          <w:p w14:paraId="2A5103FA" w14:textId="378C2EFE" w:rsidR="328B30DD" w:rsidRDefault="328B30DD" w:rsidP="328B30DD">
            <w:pPr>
              <w:rPr>
                <w:rFonts w:eastAsiaTheme="minorEastAsia"/>
              </w:rPr>
            </w:pPr>
          </w:p>
          <w:p w14:paraId="07F2ADED" w14:textId="1ED046E3" w:rsidR="328B30DD" w:rsidRDefault="328B30DD" w:rsidP="328B30DD">
            <w:pPr>
              <w:rPr>
                <w:rFonts w:eastAsiaTheme="minorEastAsia"/>
              </w:rPr>
            </w:pPr>
          </w:p>
          <w:p w14:paraId="2E2ADCDE" w14:textId="3320A5A2" w:rsidR="328B30DD" w:rsidRDefault="328B30DD" w:rsidP="328B30DD">
            <w:pPr>
              <w:rPr>
                <w:rFonts w:eastAsiaTheme="minorEastAsia"/>
              </w:rPr>
            </w:pPr>
          </w:p>
          <w:p w14:paraId="25D58382" w14:textId="3E46F8D1" w:rsidR="328B30DD" w:rsidRDefault="328B30DD" w:rsidP="328B30DD">
            <w:pPr>
              <w:rPr>
                <w:rFonts w:eastAsiaTheme="minorEastAsia"/>
              </w:rPr>
            </w:pPr>
          </w:p>
          <w:p w14:paraId="46A88AA2" w14:textId="13ADDC96" w:rsidR="328B30DD" w:rsidRDefault="328B30DD" w:rsidP="328B30DD">
            <w:pPr>
              <w:rPr>
                <w:rFonts w:eastAsiaTheme="minorEastAsia"/>
              </w:rPr>
            </w:pPr>
          </w:p>
          <w:p w14:paraId="2EDE54FE" w14:textId="33D8A8AC" w:rsidR="328B30DD" w:rsidRDefault="328B30DD" w:rsidP="328B30DD">
            <w:pPr>
              <w:rPr>
                <w:rFonts w:eastAsiaTheme="minorEastAsia"/>
              </w:rPr>
            </w:pPr>
          </w:p>
          <w:p w14:paraId="76FEC5B3" w14:textId="7BB7D906" w:rsidR="328B30DD" w:rsidRDefault="328B30DD" w:rsidP="328B30DD">
            <w:pPr>
              <w:rPr>
                <w:rFonts w:eastAsiaTheme="minorEastAsia"/>
              </w:rPr>
            </w:pPr>
          </w:p>
          <w:p w14:paraId="5666910D" w14:textId="2BFA275B" w:rsidR="328B30DD" w:rsidRDefault="328B30DD" w:rsidP="328B30DD">
            <w:pPr>
              <w:rPr>
                <w:rFonts w:eastAsiaTheme="minorEastAsia"/>
              </w:rPr>
            </w:pPr>
          </w:p>
          <w:p w14:paraId="7DE20C5F" w14:textId="60E15DEB" w:rsidR="328B30DD" w:rsidRDefault="328B30DD" w:rsidP="328B30DD">
            <w:pPr>
              <w:rPr>
                <w:rFonts w:eastAsiaTheme="minorEastAsia"/>
              </w:rPr>
            </w:pPr>
          </w:p>
          <w:p w14:paraId="45F16B56" w14:textId="362DC8C1" w:rsidR="328B30DD" w:rsidRDefault="328B30DD" w:rsidP="328B30DD">
            <w:pPr>
              <w:rPr>
                <w:rFonts w:eastAsiaTheme="minorEastAsia"/>
              </w:rPr>
            </w:pPr>
          </w:p>
          <w:p w14:paraId="4FB6C218" w14:textId="57223508" w:rsidR="328B30DD" w:rsidRDefault="328B30DD" w:rsidP="328B30DD">
            <w:pPr>
              <w:rPr>
                <w:rFonts w:eastAsiaTheme="minorEastAsia"/>
              </w:rPr>
            </w:pPr>
          </w:p>
          <w:p w14:paraId="55102CF6" w14:textId="48EED119" w:rsidR="328B30DD" w:rsidRDefault="328B30DD" w:rsidP="328B30DD">
            <w:pPr>
              <w:rPr>
                <w:rFonts w:eastAsiaTheme="minorEastAsia"/>
              </w:rPr>
            </w:pPr>
          </w:p>
          <w:p w14:paraId="6BF0D347" w14:textId="382C42D0" w:rsidR="328B30DD" w:rsidRDefault="328B30DD" w:rsidP="328B30DD">
            <w:pPr>
              <w:rPr>
                <w:rFonts w:eastAsiaTheme="minorEastAsia"/>
              </w:rPr>
            </w:pPr>
          </w:p>
          <w:p w14:paraId="2C303950" w14:textId="3B275D47" w:rsidR="328B30DD" w:rsidRDefault="328B30DD" w:rsidP="328B30DD">
            <w:pPr>
              <w:rPr>
                <w:rFonts w:eastAsiaTheme="minorEastAsia"/>
              </w:rPr>
            </w:pPr>
          </w:p>
          <w:p w14:paraId="4E94142A" w14:textId="247DDD5E" w:rsidR="328B30DD" w:rsidRDefault="328B30DD" w:rsidP="328B30DD">
            <w:pPr>
              <w:rPr>
                <w:rFonts w:eastAsiaTheme="minorEastAsia"/>
              </w:rPr>
            </w:pPr>
          </w:p>
          <w:p w14:paraId="6124D150" w14:textId="0EE3EAE0" w:rsidR="328B30DD" w:rsidRDefault="328B30DD" w:rsidP="328B30DD">
            <w:pPr>
              <w:rPr>
                <w:rFonts w:eastAsiaTheme="minorEastAsia"/>
              </w:rPr>
            </w:pPr>
          </w:p>
          <w:p w14:paraId="59DF425F" w14:textId="46D27A59" w:rsidR="328B30DD" w:rsidRDefault="328B30DD" w:rsidP="328B30DD">
            <w:pPr>
              <w:rPr>
                <w:rFonts w:eastAsiaTheme="minorEastAsia"/>
              </w:rPr>
            </w:pPr>
          </w:p>
          <w:p w14:paraId="59D23409" w14:textId="6893BA47" w:rsidR="328B30DD" w:rsidRDefault="328B30DD" w:rsidP="328B30DD">
            <w:pPr>
              <w:rPr>
                <w:rFonts w:eastAsiaTheme="minorEastAsia"/>
              </w:rPr>
            </w:pPr>
          </w:p>
          <w:p w14:paraId="14F7F4DE" w14:textId="0C29F559" w:rsidR="328B30DD" w:rsidRDefault="328B30DD" w:rsidP="328B30DD">
            <w:pPr>
              <w:rPr>
                <w:rFonts w:eastAsiaTheme="minorEastAsia"/>
              </w:rPr>
            </w:pPr>
          </w:p>
          <w:p w14:paraId="7D014384" w14:textId="29B65C60" w:rsidR="328B30DD" w:rsidRDefault="328B30DD" w:rsidP="328B30DD">
            <w:pPr>
              <w:rPr>
                <w:rFonts w:eastAsiaTheme="minorEastAsia"/>
              </w:rPr>
            </w:pPr>
          </w:p>
          <w:p w14:paraId="7C075310" w14:textId="3906E40C" w:rsidR="3D2C5891" w:rsidRDefault="3D2C5891" w:rsidP="3D2C5891">
            <w:pPr>
              <w:rPr>
                <w:rFonts w:eastAsiaTheme="minorEastAsia"/>
              </w:rPr>
            </w:pPr>
          </w:p>
          <w:p w14:paraId="683EF8DC" w14:textId="77777777" w:rsidR="00C73742" w:rsidRDefault="00C73742" w:rsidP="328B30DD">
            <w:pPr>
              <w:rPr>
                <w:rFonts w:eastAsiaTheme="minorEastAsia"/>
              </w:rPr>
            </w:pPr>
          </w:p>
          <w:p w14:paraId="52CDE523" w14:textId="1DC21827" w:rsidR="328B30DD" w:rsidRDefault="328B30DD"/>
        </w:tc>
      </w:tr>
      <w:tr w:rsidR="328B30DD" w14:paraId="52596D2F" w14:textId="77777777" w:rsidTr="3D2C5891">
        <w:trPr>
          <w:trHeight w:val="300"/>
        </w:trPr>
        <w:tc>
          <w:tcPr>
            <w:tcW w:w="10615" w:type="dxa"/>
            <w:shd w:val="clear" w:color="auto" w:fill="FFC000"/>
          </w:tcPr>
          <w:p w14:paraId="2B3A4156" w14:textId="6403D178" w:rsidR="328B30DD" w:rsidRDefault="328B30DD">
            <w:r w:rsidRPr="328B30DD">
              <w:rPr>
                <w:b/>
                <w:bCs/>
              </w:rPr>
              <w:lastRenderedPageBreak/>
              <w:t>Additional Comments/Feedback</w:t>
            </w:r>
          </w:p>
        </w:tc>
      </w:tr>
      <w:tr w:rsidR="328B30DD" w14:paraId="3840C8BC" w14:textId="77777777" w:rsidTr="3D2C5891">
        <w:trPr>
          <w:trHeight w:val="300"/>
        </w:trPr>
        <w:tc>
          <w:tcPr>
            <w:tcW w:w="10615" w:type="dxa"/>
            <w:shd w:val="clear" w:color="auto" w:fill="FFFFFF" w:themeFill="background1"/>
          </w:tcPr>
          <w:p w14:paraId="407CA682" w14:textId="77777777" w:rsidR="005C7690" w:rsidRDefault="66FAB7B3">
            <w:r>
              <w:t xml:space="preserve">Please provide any additional comments or suggestions on SETRs, Digital Transformation, or other areas you would like to express to the Air Force Material Command. </w:t>
            </w:r>
          </w:p>
          <w:p w14:paraId="6D1AC3B1" w14:textId="77777777" w:rsidR="328B30DD" w:rsidRDefault="328B30DD"/>
          <w:p w14:paraId="30A7C746" w14:textId="76DBFF91" w:rsidR="328B30DD" w:rsidRDefault="66FAB7B3" w:rsidP="328B30DD">
            <w:pPr>
              <w:rPr>
                <w:b/>
                <w:bCs/>
              </w:rPr>
            </w:pPr>
            <w:r>
              <w:t>Please also include on feedback on the workshop, or recommendations for workshops or events you would like to participate in the future.</w:t>
            </w:r>
          </w:p>
          <w:p w14:paraId="79CD9B13" w14:textId="17A3E753" w:rsidR="328B30DD" w:rsidRDefault="328B30DD"/>
          <w:p w14:paraId="25F433BB" w14:textId="041BD6A3" w:rsidR="328B30DD" w:rsidRDefault="328B30DD"/>
          <w:p w14:paraId="53A2661E" w14:textId="79C35681" w:rsidR="328B30DD" w:rsidRDefault="328B30DD"/>
          <w:p w14:paraId="460AB6F9" w14:textId="3881AC92" w:rsidR="328B30DD" w:rsidRDefault="328B30DD"/>
          <w:p w14:paraId="5B40BC72" w14:textId="73980419" w:rsidR="328B30DD" w:rsidRDefault="328B30DD"/>
          <w:p w14:paraId="4EC214E5" w14:textId="6670791B" w:rsidR="328B30DD" w:rsidRDefault="328B30DD"/>
          <w:p w14:paraId="7334A6B9" w14:textId="62B88DAE" w:rsidR="328B30DD" w:rsidRDefault="328B30DD"/>
          <w:p w14:paraId="1C1F8D16" w14:textId="264D9688" w:rsidR="328B30DD" w:rsidRDefault="328B30DD"/>
          <w:p w14:paraId="7C67A98D" w14:textId="73BE4CD5" w:rsidR="328B30DD" w:rsidRDefault="328B30DD"/>
          <w:p w14:paraId="3E7B1A07" w14:textId="710DBDA9" w:rsidR="328B30DD" w:rsidRDefault="328B30DD" w:rsidP="328B30DD"/>
          <w:p w14:paraId="3D957617" w14:textId="31F9B6ED" w:rsidR="328B30DD" w:rsidRDefault="328B30DD" w:rsidP="328B30DD"/>
          <w:p w14:paraId="4B9809A8" w14:textId="4C361B0B" w:rsidR="328B30DD" w:rsidRDefault="328B30DD" w:rsidP="328B30DD"/>
          <w:p w14:paraId="520CCAE3" w14:textId="680F01E3" w:rsidR="328B30DD" w:rsidRDefault="328B30DD" w:rsidP="328B30DD"/>
          <w:p w14:paraId="5E2E2D3F" w14:textId="271447FF" w:rsidR="328B30DD" w:rsidRDefault="328B30DD" w:rsidP="328B30DD"/>
          <w:p w14:paraId="42678D36" w14:textId="01BC3E85" w:rsidR="328B30DD" w:rsidRDefault="328B30DD" w:rsidP="328B30DD"/>
          <w:p w14:paraId="72761911" w14:textId="77777777" w:rsidR="00626CD8" w:rsidRDefault="00626CD8" w:rsidP="328B30DD"/>
          <w:p w14:paraId="7208D6D1" w14:textId="77777777" w:rsidR="00626CD8" w:rsidRDefault="00626CD8" w:rsidP="328B30DD"/>
          <w:p w14:paraId="45544A2F" w14:textId="77777777" w:rsidR="00626CD8" w:rsidRDefault="00626CD8" w:rsidP="328B30DD"/>
          <w:p w14:paraId="7745A8D0" w14:textId="585BCDEE" w:rsidR="328B30DD" w:rsidRDefault="328B30DD" w:rsidP="328B30DD"/>
          <w:p w14:paraId="19E4AA7A" w14:textId="38E21E70" w:rsidR="328B30DD" w:rsidRDefault="328B30DD" w:rsidP="328B30DD"/>
          <w:p w14:paraId="3FF1DE6D" w14:textId="2FF4F4EF" w:rsidR="328B30DD" w:rsidRDefault="328B30DD" w:rsidP="328B30DD"/>
          <w:p w14:paraId="7C271B6E" w14:textId="77C3AD36" w:rsidR="328B30DD" w:rsidRDefault="328B30DD" w:rsidP="328B30DD"/>
          <w:p w14:paraId="6CF3A55C" w14:textId="44C9B12B" w:rsidR="328B30DD" w:rsidRDefault="328B30DD" w:rsidP="328B30DD"/>
          <w:p w14:paraId="30F05045" w14:textId="7B0E66C4" w:rsidR="328B30DD" w:rsidRDefault="328B30DD" w:rsidP="328B30DD"/>
          <w:p w14:paraId="5BE81CCB" w14:textId="415A17B2" w:rsidR="328B30DD" w:rsidRDefault="328B30DD" w:rsidP="328B30DD"/>
          <w:p w14:paraId="4B962194" w14:textId="1D05EF83" w:rsidR="328B30DD" w:rsidRDefault="328B30DD" w:rsidP="328B30DD"/>
          <w:p w14:paraId="409FCF6A" w14:textId="33D2864E" w:rsidR="328B30DD" w:rsidRDefault="328B30DD" w:rsidP="328B30DD"/>
          <w:p w14:paraId="1B5615D9" w14:textId="63E078F9" w:rsidR="328B30DD" w:rsidRDefault="328B30DD" w:rsidP="328B30DD"/>
          <w:p w14:paraId="709262C3" w14:textId="6E03E058" w:rsidR="328B30DD" w:rsidRDefault="328B30DD" w:rsidP="328B30DD"/>
          <w:p w14:paraId="09309FCF" w14:textId="18A05EBE" w:rsidR="328B30DD" w:rsidRDefault="328B30DD" w:rsidP="328B30DD"/>
          <w:p w14:paraId="4CE4E7F6" w14:textId="47AF20FB" w:rsidR="328B30DD" w:rsidRDefault="328B30DD" w:rsidP="328B30DD"/>
          <w:p w14:paraId="24F10647" w14:textId="233C272E" w:rsidR="328B30DD" w:rsidRDefault="328B30DD"/>
          <w:p w14:paraId="20C70A23" w14:textId="003D5E34" w:rsidR="328B30DD" w:rsidRDefault="328B30DD"/>
          <w:p w14:paraId="552B6D7C" w14:textId="0909ED86" w:rsidR="328B30DD" w:rsidRDefault="328B30DD"/>
          <w:p w14:paraId="41A55C7F" w14:textId="1E2430EB" w:rsidR="328B30DD" w:rsidRDefault="328B30DD" w:rsidP="328B30DD"/>
          <w:p w14:paraId="33080C52" w14:textId="55F7E1D4" w:rsidR="328B30DD" w:rsidRDefault="328B30DD" w:rsidP="328B30DD"/>
          <w:p w14:paraId="6B6832C1" w14:textId="5A41CD4D" w:rsidR="328B30DD" w:rsidRDefault="328B30DD"/>
          <w:p w14:paraId="4B28331F" w14:textId="7AED2D24" w:rsidR="328B30DD" w:rsidRDefault="328B30DD"/>
          <w:p w14:paraId="0F00EA18" w14:textId="6B36A83A" w:rsidR="328B30DD" w:rsidRDefault="328B30DD"/>
          <w:p w14:paraId="10DA8460" w14:textId="55FC135F" w:rsidR="328B30DD" w:rsidRDefault="328B30DD"/>
          <w:p w14:paraId="45698BC7" w14:textId="2B741328" w:rsidR="328B30DD" w:rsidRDefault="328B30DD"/>
        </w:tc>
      </w:tr>
    </w:tbl>
    <w:p w14:paraId="055208C7" w14:textId="116ED2D5" w:rsidR="00D03D77" w:rsidRDefault="00D03D77" w:rsidP="00F22E41"/>
    <w:sectPr w:rsidR="00D03D77" w:rsidSect="0028307A">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230B" w14:textId="77777777" w:rsidR="00F55208" w:rsidRDefault="00F55208" w:rsidP="00237752">
      <w:pPr>
        <w:spacing w:after="0" w:line="240" w:lineRule="auto"/>
      </w:pPr>
      <w:r>
        <w:separator/>
      </w:r>
    </w:p>
  </w:endnote>
  <w:endnote w:type="continuationSeparator" w:id="0">
    <w:p w14:paraId="02BBB65A" w14:textId="77777777" w:rsidR="00F55208" w:rsidRDefault="00F55208" w:rsidP="00237752">
      <w:pPr>
        <w:spacing w:after="0" w:line="240" w:lineRule="auto"/>
      </w:pPr>
      <w:r>
        <w:continuationSeparator/>
      </w:r>
    </w:p>
  </w:endnote>
  <w:endnote w:type="continuationNotice" w:id="1">
    <w:p w14:paraId="5CB5D14D" w14:textId="77777777" w:rsidR="00F55208" w:rsidRDefault="00F552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28B30DD" w14:paraId="388CCCBE" w14:textId="77777777" w:rsidTr="328B30DD">
      <w:trPr>
        <w:trHeight w:val="300"/>
      </w:trPr>
      <w:tc>
        <w:tcPr>
          <w:tcW w:w="3600" w:type="dxa"/>
        </w:tcPr>
        <w:p w14:paraId="4428B61F" w14:textId="6F815A26" w:rsidR="328B30DD" w:rsidRDefault="328B30DD" w:rsidP="328B30DD">
          <w:pPr>
            <w:pStyle w:val="Header"/>
            <w:ind w:left="-115"/>
          </w:pPr>
        </w:p>
      </w:tc>
      <w:tc>
        <w:tcPr>
          <w:tcW w:w="3600" w:type="dxa"/>
        </w:tcPr>
        <w:p w14:paraId="0E18922C" w14:textId="3E75A388" w:rsidR="328B30DD" w:rsidRDefault="328B30DD" w:rsidP="328B30DD">
          <w:pPr>
            <w:pStyle w:val="Header"/>
            <w:jc w:val="center"/>
          </w:pPr>
        </w:p>
      </w:tc>
      <w:tc>
        <w:tcPr>
          <w:tcW w:w="3600" w:type="dxa"/>
        </w:tcPr>
        <w:p w14:paraId="3F4DA14D" w14:textId="09F2174E" w:rsidR="328B30DD" w:rsidRDefault="328B30DD" w:rsidP="328B30DD">
          <w:pPr>
            <w:pStyle w:val="Header"/>
            <w:ind w:right="-115"/>
            <w:jc w:val="right"/>
          </w:pPr>
          <w:r>
            <w:fldChar w:fldCharType="begin"/>
          </w:r>
          <w:r>
            <w:instrText>PAGE</w:instrText>
          </w:r>
          <w:r>
            <w:fldChar w:fldCharType="separate"/>
          </w:r>
          <w:r w:rsidR="00D3113F">
            <w:rPr>
              <w:noProof/>
            </w:rPr>
            <w:t>1</w:t>
          </w:r>
          <w:r>
            <w:fldChar w:fldCharType="end"/>
          </w:r>
        </w:p>
      </w:tc>
    </w:tr>
  </w:tbl>
  <w:p w14:paraId="6668D625" w14:textId="3BF2F3F0" w:rsidR="00066B24" w:rsidRDefault="0006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3144" w14:textId="77777777" w:rsidR="00F55208" w:rsidRDefault="00F55208" w:rsidP="00237752">
      <w:pPr>
        <w:spacing w:after="0" w:line="240" w:lineRule="auto"/>
      </w:pPr>
      <w:r>
        <w:separator/>
      </w:r>
    </w:p>
  </w:footnote>
  <w:footnote w:type="continuationSeparator" w:id="0">
    <w:p w14:paraId="130AD7FD" w14:textId="77777777" w:rsidR="00F55208" w:rsidRDefault="00F55208" w:rsidP="00237752">
      <w:pPr>
        <w:spacing w:after="0" w:line="240" w:lineRule="auto"/>
      </w:pPr>
      <w:r>
        <w:continuationSeparator/>
      </w:r>
    </w:p>
  </w:footnote>
  <w:footnote w:type="continuationNotice" w:id="1">
    <w:p w14:paraId="5F1E47B6" w14:textId="77777777" w:rsidR="00F55208" w:rsidRDefault="00F552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0CAF" w14:textId="5845B873" w:rsidR="00F22E41" w:rsidRDefault="00F22E41" w:rsidP="00F22E41">
    <w:pPr>
      <w:pStyle w:val="Header"/>
      <w:jc w:val="center"/>
    </w:pPr>
    <w:r>
      <w:t>NDIA 27</w:t>
    </w:r>
    <w:r w:rsidRPr="00F22E41">
      <w:rPr>
        <w:vertAlign w:val="superscript"/>
      </w:rPr>
      <w:t>th</w:t>
    </w:r>
    <w:r>
      <w:t xml:space="preserve"> Annual Systems &amp; Mission Engineering Conference – 28 Oct 2024</w:t>
    </w:r>
  </w:p>
  <w:p w14:paraId="1F5F5DDD" w14:textId="3A7E9A7C" w:rsidR="00F22E41" w:rsidRDefault="00B13BCF" w:rsidP="00F22E41">
    <w:pPr>
      <w:pStyle w:val="Header"/>
      <w:jc w:val="center"/>
    </w:pPr>
    <w:r>
      <w:t>IAC DMM Workshop (</w:t>
    </w:r>
    <w:r w:rsidR="00F22E41">
      <w:t>Workshop 1</w:t>
    </w:r>
    <w:r>
      <w:t xml:space="preserve">): </w:t>
    </w:r>
    <w:r w:rsidR="00F22E41">
      <w:t>Implementing a Digital Technical Review Process</w:t>
    </w:r>
  </w:p>
  <w:p w14:paraId="5E5E8271" w14:textId="77777777" w:rsidR="001205DC" w:rsidRDefault="001205DC" w:rsidP="00F22E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CED624D"/>
    <w:multiLevelType w:val="multilevel"/>
    <w:tmpl w:val="DF766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FE5800"/>
    <w:multiLevelType w:val="multilevel"/>
    <w:tmpl w:val="86A6F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2C344A"/>
    <w:multiLevelType w:val="hybridMultilevel"/>
    <w:tmpl w:val="51B2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C189D"/>
    <w:multiLevelType w:val="multilevel"/>
    <w:tmpl w:val="F09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84F3BB1"/>
    <w:multiLevelType w:val="hybridMultilevel"/>
    <w:tmpl w:val="47F03B5C"/>
    <w:lvl w:ilvl="0" w:tplc="347AB5B0">
      <w:start w:val="2"/>
      <w:numFmt w:val="bullet"/>
      <w:lvlText w:val="-"/>
      <w:lvlJc w:val="left"/>
      <w:pPr>
        <w:ind w:left="510" w:hanging="360"/>
      </w:pPr>
      <w:rPr>
        <w:rFonts w:ascii="Aptos" w:eastAsiaTheme="minorEastAsia" w:hAnsi="Apto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9"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47410678">
    <w:abstractNumId w:val="3"/>
  </w:num>
  <w:num w:numId="2" w16cid:durableId="751124873">
    <w:abstractNumId w:val="2"/>
  </w:num>
  <w:num w:numId="3" w16cid:durableId="1811092354">
    <w:abstractNumId w:val="6"/>
  </w:num>
  <w:num w:numId="4" w16cid:durableId="1485851645">
    <w:abstractNumId w:val="9"/>
    <w:lvlOverride w:ilvl="0">
      <w:startOverride w:val="1"/>
    </w:lvlOverride>
  </w:num>
  <w:num w:numId="5" w16cid:durableId="354422876">
    <w:abstractNumId w:val="1"/>
    <w:lvlOverride w:ilvl="0">
      <w:startOverride w:val="3"/>
    </w:lvlOverride>
  </w:num>
  <w:num w:numId="6" w16cid:durableId="1728799836">
    <w:abstractNumId w:val="7"/>
    <w:lvlOverride w:ilvl="0">
      <w:startOverride w:val="4"/>
    </w:lvlOverride>
  </w:num>
  <w:num w:numId="7" w16cid:durableId="506555369">
    <w:abstractNumId w:val="0"/>
    <w:lvlOverride w:ilvl="0">
      <w:startOverride w:val="1"/>
    </w:lvlOverride>
  </w:num>
  <w:num w:numId="8" w16cid:durableId="1768842776">
    <w:abstractNumId w:val="4"/>
  </w:num>
  <w:num w:numId="9" w16cid:durableId="311837532">
    <w:abstractNumId w:val="5"/>
  </w:num>
  <w:num w:numId="10" w16cid:durableId="4854371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41DD"/>
    <w:rsid w:val="00085377"/>
    <w:rsid w:val="00086620"/>
    <w:rsid w:val="00092622"/>
    <w:rsid w:val="00095EAE"/>
    <w:rsid w:val="000A09BE"/>
    <w:rsid w:val="000C334F"/>
    <w:rsid w:val="000D0695"/>
    <w:rsid w:val="000D1F0C"/>
    <w:rsid w:val="000D2A4E"/>
    <w:rsid w:val="000E2272"/>
    <w:rsid w:val="000F0557"/>
    <w:rsid w:val="00102781"/>
    <w:rsid w:val="001034AF"/>
    <w:rsid w:val="001053FF"/>
    <w:rsid w:val="0011075F"/>
    <w:rsid w:val="00112184"/>
    <w:rsid w:val="00112C87"/>
    <w:rsid w:val="00115B6D"/>
    <w:rsid w:val="001205A5"/>
    <w:rsid w:val="001205DC"/>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0B55"/>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323"/>
    <w:rsid w:val="002903D0"/>
    <w:rsid w:val="00290ED7"/>
    <w:rsid w:val="0029449C"/>
    <w:rsid w:val="002A2183"/>
    <w:rsid w:val="002C0FDA"/>
    <w:rsid w:val="002C3576"/>
    <w:rsid w:val="002C3658"/>
    <w:rsid w:val="002C7DF6"/>
    <w:rsid w:val="002D1DC9"/>
    <w:rsid w:val="002D318D"/>
    <w:rsid w:val="002E5568"/>
    <w:rsid w:val="002F49C1"/>
    <w:rsid w:val="00310730"/>
    <w:rsid w:val="0031331E"/>
    <w:rsid w:val="00313C77"/>
    <w:rsid w:val="00322CA2"/>
    <w:rsid w:val="00324A1B"/>
    <w:rsid w:val="003279C4"/>
    <w:rsid w:val="00330533"/>
    <w:rsid w:val="003355D7"/>
    <w:rsid w:val="00356790"/>
    <w:rsid w:val="0036207B"/>
    <w:rsid w:val="00364271"/>
    <w:rsid w:val="00384942"/>
    <w:rsid w:val="00392F7F"/>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6291"/>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4DAF"/>
    <w:rsid w:val="004E6E43"/>
    <w:rsid w:val="004F0CD5"/>
    <w:rsid w:val="00510279"/>
    <w:rsid w:val="0051445F"/>
    <w:rsid w:val="00515ED4"/>
    <w:rsid w:val="005172A3"/>
    <w:rsid w:val="00525490"/>
    <w:rsid w:val="00532C6D"/>
    <w:rsid w:val="00535141"/>
    <w:rsid w:val="00542100"/>
    <w:rsid w:val="00546920"/>
    <w:rsid w:val="0054699F"/>
    <w:rsid w:val="00550988"/>
    <w:rsid w:val="00551705"/>
    <w:rsid w:val="005530B9"/>
    <w:rsid w:val="0058249F"/>
    <w:rsid w:val="00583EB2"/>
    <w:rsid w:val="00584C0A"/>
    <w:rsid w:val="00594EF8"/>
    <w:rsid w:val="005959AE"/>
    <w:rsid w:val="00597911"/>
    <w:rsid w:val="005A4121"/>
    <w:rsid w:val="005B6823"/>
    <w:rsid w:val="005C3EFC"/>
    <w:rsid w:val="005C59C0"/>
    <w:rsid w:val="005C6D93"/>
    <w:rsid w:val="005C7690"/>
    <w:rsid w:val="005D5CC8"/>
    <w:rsid w:val="005E533C"/>
    <w:rsid w:val="005E6344"/>
    <w:rsid w:val="005F27B6"/>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887"/>
    <w:rsid w:val="00660F83"/>
    <w:rsid w:val="006731D2"/>
    <w:rsid w:val="00691D3B"/>
    <w:rsid w:val="006B1480"/>
    <w:rsid w:val="006C0654"/>
    <w:rsid w:val="006C7E49"/>
    <w:rsid w:val="006D17B9"/>
    <w:rsid w:val="006D2F4F"/>
    <w:rsid w:val="006D3FB7"/>
    <w:rsid w:val="006D44AD"/>
    <w:rsid w:val="006D5263"/>
    <w:rsid w:val="006D6176"/>
    <w:rsid w:val="006E08A4"/>
    <w:rsid w:val="006E4DFF"/>
    <w:rsid w:val="006E7860"/>
    <w:rsid w:val="006F2A4B"/>
    <w:rsid w:val="006F5679"/>
    <w:rsid w:val="006F5E02"/>
    <w:rsid w:val="00700946"/>
    <w:rsid w:val="00701F46"/>
    <w:rsid w:val="0070510D"/>
    <w:rsid w:val="00732A88"/>
    <w:rsid w:val="0074382E"/>
    <w:rsid w:val="007439D6"/>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09E5"/>
    <w:rsid w:val="009D27E4"/>
    <w:rsid w:val="009D2930"/>
    <w:rsid w:val="009D4C1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4EB8"/>
    <w:rsid w:val="00A47E79"/>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2422"/>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651C7"/>
    <w:rsid w:val="00B819B6"/>
    <w:rsid w:val="00B832A0"/>
    <w:rsid w:val="00B843E9"/>
    <w:rsid w:val="00B855DA"/>
    <w:rsid w:val="00BA4731"/>
    <w:rsid w:val="00BA5DA3"/>
    <w:rsid w:val="00BA6807"/>
    <w:rsid w:val="00BD6C6B"/>
    <w:rsid w:val="00BE018C"/>
    <w:rsid w:val="00BE1743"/>
    <w:rsid w:val="00BE1760"/>
    <w:rsid w:val="00BE6B2A"/>
    <w:rsid w:val="00BE709B"/>
    <w:rsid w:val="00BE779B"/>
    <w:rsid w:val="00BF4C6E"/>
    <w:rsid w:val="00C01208"/>
    <w:rsid w:val="00C0189E"/>
    <w:rsid w:val="00C02105"/>
    <w:rsid w:val="00C033C1"/>
    <w:rsid w:val="00C07689"/>
    <w:rsid w:val="00C16A34"/>
    <w:rsid w:val="00C20B27"/>
    <w:rsid w:val="00C22EA8"/>
    <w:rsid w:val="00C31A7B"/>
    <w:rsid w:val="00C352AE"/>
    <w:rsid w:val="00C42655"/>
    <w:rsid w:val="00C44693"/>
    <w:rsid w:val="00C52E8F"/>
    <w:rsid w:val="00C548CF"/>
    <w:rsid w:val="00C57E7A"/>
    <w:rsid w:val="00C60516"/>
    <w:rsid w:val="00C65298"/>
    <w:rsid w:val="00C703A0"/>
    <w:rsid w:val="00C73598"/>
    <w:rsid w:val="00C73742"/>
    <w:rsid w:val="00C73A30"/>
    <w:rsid w:val="00C74A21"/>
    <w:rsid w:val="00C75465"/>
    <w:rsid w:val="00C77F20"/>
    <w:rsid w:val="00C83EAC"/>
    <w:rsid w:val="00C87DE9"/>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62552"/>
    <w:rsid w:val="00E67BD4"/>
    <w:rsid w:val="00E70D8E"/>
    <w:rsid w:val="00E738F6"/>
    <w:rsid w:val="00E739D9"/>
    <w:rsid w:val="00E8791C"/>
    <w:rsid w:val="00E94C9A"/>
    <w:rsid w:val="00EA2E54"/>
    <w:rsid w:val="00EA4894"/>
    <w:rsid w:val="00EB0411"/>
    <w:rsid w:val="00EB1E59"/>
    <w:rsid w:val="00EB4730"/>
    <w:rsid w:val="00EB4FF1"/>
    <w:rsid w:val="00EC7581"/>
    <w:rsid w:val="00ED3FBA"/>
    <w:rsid w:val="00ED5144"/>
    <w:rsid w:val="00ED7664"/>
    <w:rsid w:val="00EE0AC5"/>
    <w:rsid w:val="00EE72AC"/>
    <w:rsid w:val="00EF0BA6"/>
    <w:rsid w:val="00EF4AA9"/>
    <w:rsid w:val="00F00FDE"/>
    <w:rsid w:val="00F02512"/>
    <w:rsid w:val="00F0484E"/>
    <w:rsid w:val="00F1322E"/>
    <w:rsid w:val="00F149CF"/>
    <w:rsid w:val="00F167F0"/>
    <w:rsid w:val="00F17438"/>
    <w:rsid w:val="00F22E41"/>
    <w:rsid w:val="00F25925"/>
    <w:rsid w:val="00F3476F"/>
    <w:rsid w:val="00F34C8A"/>
    <w:rsid w:val="00F35C8D"/>
    <w:rsid w:val="00F37382"/>
    <w:rsid w:val="00F37761"/>
    <w:rsid w:val="00F37D0B"/>
    <w:rsid w:val="00F41057"/>
    <w:rsid w:val="00F448B4"/>
    <w:rsid w:val="00F46B1A"/>
    <w:rsid w:val="00F55208"/>
    <w:rsid w:val="00F64091"/>
    <w:rsid w:val="00F722D3"/>
    <w:rsid w:val="00F7537D"/>
    <w:rsid w:val="00F764D2"/>
    <w:rsid w:val="00F84877"/>
    <w:rsid w:val="00F95BF3"/>
    <w:rsid w:val="00F973C9"/>
    <w:rsid w:val="00FA13F7"/>
    <w:rsid w:val="00FA4674"/>
    <w:rsid w:val="00FA6217"/>
    <w:rsid w:val="00FA66D9"/>
    <w:rsid w:val="00FA7D04"/>
    <w:rsid w:val="00FB2696"/>
    <w:rsid w:val="00FC3B4F"/>
    <w:rsid w:val="00FC472B"/>
    <w:rsid w:val="00FD067B"/>
    <w:rsid w:val="00FD5055"/>
    <w:rsid w:val="00FD57BB"/>
    <w:rsid w:val="00FD6DF4"/>
    <w:rsid w:val="00FE19E0"/>
    <w:rsid w:val="00FE3971"/>
    <w:rsid w:val="00FE664C"/>
    <w:rsid w:val="00FF39C8"/>
    <w:rsid w:val="00FF45B6"/>
    <w:rsid w:val="018A8988"/>
    <w:rsid w:val="01C0B053"/>
    <w:rsid w:val="032EBDA6"/>
    <w:rsid w:val="0405ED86"/>
    <w:rsid w:val="04738748"/>
    <w:rsid w:val="05E0E6FC"/>
    <w:rsid w:val="063AEDA8"/>
    <w:rsid w:val="064B3231"/>
    <w:rsid w:val="072135B9"/>
    <w:rsid w:val="073F9CFD"/>
    <w:rsid w:val="076EB65F"/>
    <w:rsid w:val="07A23B18"/>
    <w:rsid w:val="07B1E861"/>
    <w:rsid w:val="08A189AE"/>
    <w:rsid w:val="098D6E79"/>
    <w:rsid w:val="0A25CEA0"/>
    <w:rsid w:val="0B173595"/>
    <w:rsid w:val="0B408647"/>
    <w:rsid w:val="0B7E2850"/>
    <w:rsid w:val="0BAFCF78"/>
    <w:rsid w:val="0C68E860"/>
    <w:rsid w:val="0C89E757"/>
    <w:rsid w:val="0CFE354C"/>
    <w:rsid w:val="0E8FC8E0"/>
    <w:rsid w:val="10252FC9"/>
    <w:rsid w:val="1114CF8E"/>
    <w:rsid w:val="1183C7E5"/>
    <w:rsid w:val="120DEF26"/>
    <w:rsid w:val="143A7E46"/>
    <w:rsid w:val="156C928E"/>
    <w:rsid w:val="1576D0F3"/>
    <w:rsid w:val="15C0B54F"/>
    <w:rsid w:val="16771C03"/>
    <w:rsid w:val="17454323"/>
    <w:rsid w:val="1BA4C2FD"/>
    <w:rsid w:val="1C692929"/>
    <w:rsid w:val="1C7E0254"/>
    <w:rsid w:val="1CC03374"/>
    <w:rsid w:val="1D9DF2C4"/>
    <w:rsid w:val="1F2D4017"/>
    <w:rsid w:val="1FCC3ACF"/>
    <w:rsid w:val="1FFDC752"/>
    <w:rsid w:val="201B7C6E"/>
    <w:rsid w:val="2094B522"/>
    <w:rsid w:val="22223859"/>
    <w:rsid w:val="224C9457"/>
    <w:rsid w:val="229B28AA"/>
    <w:rsid w:val="23EC4913"/>
    <w:rsid w:val="243A4805"/>
    <w:rsid w:val="24B0735A"/>
    <w:rsid w:val="24DDD58E"/>
    <w:rsid w:val="250AA360"/>
    <w:rsid w:val="2578F37A"/>
    <w:rsid w:val="25F859F1"/>
    <w:rsid w:val="25F9742F"/>
    <w:rsid w:val="270BA360"/>
    <w:rsid w:val="275BAC85"/>
    <w:rsid w:val="276F52B5"/>
    <w:rsid w:val="2785D5D4"/>
    <w:rsid w:val="281FB38D"/>
    <w:rsid w:val="28CC245D"/>
    <w:rsid w:val="298D09D9"/>
    <w:rsid w:val="29E33B27"/>
    <w:rsid w:val="2A4AD7B1"/>
    <w:rsid w:val="2A6E70C6"/>
    <w:rsid w:val="2B1D2E7B"/>
    <w:rsid w:val="2B2AD75D"/>
    <w:rsid w:val="2C19B89E"/>
    <w:rsid w:val="2CFB11C4"/>
    <w:rsid w:val="2DA11377"/>
    <w:rsid w:val="2DBB6B83"/>
    <w:rsid w:val="2DD73ECF"/>
    <w:rsid w:val="2E5E9976"/>
    <w:rsid w:val="30DB6559"/>
    <w:rsid w:val="30ED942B"/>
    <w:rsid w:val="328B30DD"/>
    <w:rsid w:val="3293C247"/>
    <w:rsid w:val="32A6C117"/>
    <w:rsid w:val="32C5C2F1"/>
    <w:rsid w:val="330FAE7F"/>
    <w:rsid w:val="33A7B52F"/>
    <w:rsid w:val="34F21E56"/>
    <w:rsid w:val="3629B61F"/>
    <w:rsid w:val="3669A223"/>
    <w:rsid w:val="38903279"/>
    <w:rsid w:val="38E60D2A"/>
    <w:rsid w:val="395FE118"/>
    <w:rsid w:val="3A2C4086"/>
    <w:rsid w:val="3A729D9C"/>
    <w:rsid w:val="3C1817D1"/>
    <w:rsid w:val="3C25DA8C"/>
    <w:rsid w:val="3CE21086"/>
    <w:rsid w:val="3CE72C5C"/>
    <w:rsid w:val="3CE8003D"/>
    <w:rsid w:val="3D2C5891"/>
    <w:rsid w:val="3D61A663"/>
    <w:rsid w:val="3DB8AE8D"/>
    <w:rsid w:val="3EC9A289"/>
    <w:rsid w:val="3F87141D"/>
    <w:rsid w:val="3F9F2BF0"/>
    <w:rsid w:val="40519A61"/>
    <w:rsid w:val="40702A75"/>
    <w:rsid w:val="4088B6A7"/>
    <w:rsid w:val="414C49C8"/>
    <w:rsid w:val="4427B630"/>
    <w:rsid w:val="44455350"/>
    <w:rsid w:val="446EAF6B"/>
    <w:rsid w:val="44D41F5E"/>
    <w:rsid w:val="457FD475"/>
    <w:rsid w:val="45CA6717"/>
    <w:rsid w:val="462DD02D"/>
    <w:rsid w:val="468F2B1B"/>
    <w:rsid w:val="469F76D0"/>
    <w:rsid w:val="47BF6962"/>
    <w:rsid w:val="47D9F234"/>
    <w:rsid w:val="4914C921"/>
    <w:rsid w:val="4AD17174"/>
    <w:rsid w:val="4B9DF6AC"/>
    <w:rsid w:val="4BA1F253"/>
    <w:rsid w:val="4C6A0129"/>
    <w:rsid w:val="4D69E538"/>
    <w:rsid w:val="4E090726"/>
    <w:rsid w:val="50320B33"/>
    <w:rsid w:val="527D0BBC"/>
    <w:rsid w:val="5390E43D"/>
    <w:rsid w:val="54D106CF"/>
    <w:rsid w:val="550CD764"/>
    <w:rsid w:val="578AB577"/>
    <w:rsid w:val="57C03892"/>
    <w:rsid w:val="580BA766"/>
    <w:rsid w:val="582796CC"/>
    <w:rsid w:val="588643B0"/>
    <w:rsid w:val="5921BCD7"/>
    <w:rsid w:val="5B8D6A71"/>
    <w:rsid w:val="5BFDFE24"/>
    <w:rsid w:val="5D78D5CF"/>
    <w:rsid w:val="5DA38708"/>
    <w:rsid w:val="5DB11F19"/>
    <w:rsid w:val="5DEEED6E"/>
    <w:rsid w:val="5E4DE397"/>
    <w:rsid w:val="5E7C143E"/>
    <w:rsid w:val="5EDFDB20"/>
    <w:rsid w:val="5FCD2358"/>
    <w:rsid w:val="60205D23"/>
    <w:rsid w:val="60509B27"/>
    <w:rsid w:val="60680B66"/>
    <w:rsid w:val="60E91D79"/>
    <w:rsid w:val="61415729"/>
    <w:rsid w:val="622F53E8"/>
    <w:rsid w:val="62969923"/>
    <w:rsid w:val="62D372A9"/>
    <w:rsid w:val="62FBE26E"/>
    <w:rsid w:val="6310BF22"/>
    <w:rsid w:val="63AFC611"/>
    <w:rsid w:val="648682BC"/>
    <w:rsid w:val="64DAB639"/>
    <w:rsid w:val="64EE30BB"/>
    <w:rsid w:val="666C3D93"/>
    <w:rsid w:val="66FAB7B3"/>
    <w:rsid w:val="685122E1"/>
    <w:rsid w:val="68C68383"/>
    <w:rsid w:val="697F21C3"/>
    <w:rsid w:val="6BE60A90"/>
    <w:rsid w:val="6C068573"/>
    <w:rsid w:val="6C18C512"/>
    <w:rsid w:val="6CEC9FB0"/>
    <w:rsid w:val="6E3187B0"/>
    <w:rsid w:val="6E3F4BC0"/>
    <w:rsid w:val="6FA8D649"/>
    <w:rsid w:val="702D6796"/>
    <w:rsid w:val="716AC35C"/>
    <w:rsid w:val="72C686AF"/>
    <w:rsid w:val="73F1FF79"/>
    <w:rsid w:val="743747D0"/>
    <w:rsid w:val="75DF68BF"/>
    <w:rsid w:val="76FD3177"/>
    <w:rsid w:val="7707EA77"/>
    <w:rsid w:val="782365A2"/>
    <w:rsid w:val="78238558"/>
    <w:rsid w:val="7827E533"/>
    <w:rsid w:val="787C3DA2"/>
    <w:rsid w:val="78EC8ED1"/>
    <w:rsid w:val="78FF9919"/>
    <w:rsid w:val="790101BB"/>
    <w:rsid w:val="793DAF56"/>
    <w:rsid w:val="7A41EA7D"/>
    <w:rsid w:val="7A49C1B3"/>
    <w:rsid w:val="7AF1F4A5"/>
    <w:rsid w:val="7AF87951"/>
    <w:rsid w:val="7CADB2E2"/>
    <w:rsid w:val="7CBF19A7"/>
    <w:rsid w:val="7E166815"/>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B0222E20-E067-4645-BF96-5B6821F8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customStyle="1" w:styleId="QuoteChar">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customStyle="1" w:styleId="CommentTextChar">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customStyle="1" w:styleId="CommentSubjectChar">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2.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3.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customXml/itemProps4.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TotalTime>
  <Pages>7</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LA MONICA, TAYLOR R Capt USAF AFMC HQAFMC/EN/DATF</cp:lastModifiedBy>
  <cp:revision>2</cp:revision>
  <cp:lastPrinted>2024-10-24T19:47:00Z</cp:lastPrinted>
  <dcterms:created xsi:type="dcterms:W3CDTF">2024-11-05T21:05:00Z</dcterms:created>
  <dcterms:modified xsi:type="dcterms:W3CDTF">2024-11-05T21:05:00Z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