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2A4A"/>
        </w:rPr>
        <w:t>Fichas Técnicas por Servicio</w:t>
      </w:r>
    </w:p>
    <w:p>
      <w:pPr>
        <w:jc w:val="center"/>
      </w:pPr>
      <w:r>
        <w:rPr>
          <w:color w:val="6E2438"/>
          <w:sz w:val="36"/>
        </w:rPr>
        <w:t>E&amp;T — Estrategia y Talento</w:t>
      </w:r>
    </w:p>
    <w:p/>
    <w:p>
      <w:pPr>
        <w:spacing w:after="480"/>
      </w:pPr>
      <w:r>
        <w:t>Este documento detalla cada una de nuestras 7 unidades de servicio: qué incluye, entregables, pricing, modalidades y diferenciales.</w:t>
      </w:r>
    </w:p>
    <w:p>
      <w:pPr>
        <w:pStyle w:val="Heading2"/>
      </w:pPr>
      <w:r>
        <w:t>Índice de Servicios</w:t>
      </w:r>
    </w:p>
    <w:p>
      <w:pPr>
        <w:pStyle w:val="ListNumber"/>
      </w:pPr>
      <w:r>
        <w:rPr>
          <w:color w:val="6E2438"/>
        </w:rPr>
        <w:t>U1: Estrategia y Diseño Organizacional</w:t>
      </w:r>
    </w:p>
    <w:p>
      <w:pPr>
        <w:pStyle w:val="ListNumber"/>
      </w:pPr>
      <w:r>
        <w:rPr>
          <w:color w:val="C98A2B"/>
        </w:rPr>
        <w:t>U2: Atracción y Gestión del Talento</w:t>
      </w:r>
    </w:p>
    <w:p>
      <w:pPr>
        <w:pStyle w:val="ListNumber"/>
      </w:pPr>
      <w:r>
        <w:rPr>
          <w:color w:val="3E7A5D"/>
        </w:rPr>
        <w:t>U3: Formación y Desarrollo</w:t>
      </w:r>
    </w:p>
    <w:p>
      <w:pPr>
        <w:pStyle w:val="ListNumber"/>
      </w:pPr>
      <w:r>
        <w:rPr>
          <w:color w:val="B65330"/>
        </w:rPr>
        <w:t>U4: Bienestar y Gestión Social</w:t>
      </w:r>
    </w:p>
    <w:p>
      <w:pPr>
        <w:pStyle w:val="ListNumber"/>
      </w:pPr>
      <w:r>
        <w:rPr>
          <w:color w:val="1F5C73"/>
        </w:rPr>
        <w:t>U5: Cultura y Experiencia Organizacional</w:t>
      </w:r>
    </w:p>
    <w:p>
      <w:pPr>
        <w:pStyle w:val="ListNumber"/>
      </w:pPr>
      <w:r>
        <w:rPr>
          <w:color w:val="6B3557"/>
        </w:rPr>
        <w:t>U6: Cumplimiento y Auditoría Laboral</w:t>
      </w:r>
    </w:p>
    <w:p>
      <w:pPr>
        <w:pStyle w:val="ListNumber"/>
      </w:pPr>
      <w:r>
        <w:rPr>
          <w:color w:val="6B7A3E"/>
        </w:rPr>
        <w:t>U7: Programa de Liderazgo Público</w:t>
      </w:r>
    </w:p>
    <w:p>
      <w:r>
        <w:br w:type="page"/>
      </w:r>
    </w:p>
    <w:p>
      <w:pPr>
        <w:pStyle w:val="Heading1"/>
        <w:spacing w:after="120"/>
      </w:pPr>
      <w:r>
        <w:rPr>
          <w:color w:val="6E2438"/>
        </w:rPr>
        <w:t>U1: Estrategia y Diseño Organizacional</w:t>
      </w:r>
    </w:p>
    <w:p>
      <w:pPr>
        <w:spacing w:after="240"/>
      </w:pPr>
      <w:r>
        <w:rPr>
          <w:i/>
          <w:sz w:val="22"/>
        </w:rPr>
        <w:t>Diseñamos la estructura y dirección de tu empresa. Desde el diagnóstico inicial hasta la implementación de estrategia, MOF, organigramas y sistemas de desempeño.</w:t>
      </w:r>
    </w:p>
    <w:p>
      <w:pPr>
        <w:pStyle w:val="Heading2"/>
      </w:pPr>
      <w:r>
        <w:rPr>
          <w:color w:val="6E2438"/>
        </w:rPr>
        <w:t>¿Qué incluye?</w:t>
      </w:r>
    </w:p>
    <w:p>
      <w:pPr>
        <w:pStyle w:val="ListBullet"/>
        <w:ind w:left="360"/>
      </w:pPr>
      <w:r>
        <w:t>Diagnóstico Organizacional Express</w:t>
      </w:r>
    </w:p>
    <w:p>
      <w:pPr>
        <w:pStyle w:val="ListBullet"/>
        <w:ind w:left="360"/>
      </w:pPr>
      <w:r>
        <w:t>Diseño de Manual de Funciones (MOF)</w:t>
      </w:r>
    </w:p>
    <w:p>
      <w:pPr>
        <w:pStyle w:val="ListBullet"/>
        <w:ind w:left="360"/>
      </w:pPr>
      <w:r>
        <w:t>Organigramas y descripción de roles</w:t>
      </w:r>
    </w:p>
    <w:p>
      <w:pPr>
        <w:pStyle w:val="ListBullet"/>
        <w:ind w:left="360"/>
      </w:pPr>
      <w:r>
        <w:t>Definición de OKRs y sistema de KPIs</w:t>
      </w:r>
    </w:p>
    <w:p>
      <w:pPr>
        <w:pStyle w:val="ListBullet"/>
        <w:ind w:left="360"/>
      </w:pPr>
      <w:r>
        <w:t>Planeamiento estratégico anual</w:t>
      </w:r>
    </w:p>
    <w:p>
      <w:pPr>
        <w:pStyle w:val="ListBullet"/>
        <w:ind w:left="360"/>
      </w:pPr>
      <w:r>
        <w:t>Rediseño de procesos y flujos</w:t>
      </w:r>
    </w:p>
    <w:p>
      <w:pPr>
        <w:pStyle w:val="Heading2"/>
      </w:pPr>
      <w:r>
        <w:rPr>
          <w:color w:val="6E2438"/>
        </w:rPr>
        <w:t>Entregables típicos</w:t>
      </w:r>
    </w:p>
    <w:p>
      <w:pPr>
        <w:pStyle w:val="ListBullet"/>
        <w:ind w:left="360"/>
      </w:pPr>
      <w:r>
        <w:t>Informe ejecutivo del diagnóstico</w:t>
      </w:r>
    </w:p>
    <w:p>
      <w:pPr>
        <w:pStyle w:val="ListBullet"/>
        <w:ind w:left="360"/>
      </w:pPr>
      <w:r>
        <w:t>MOF documentado en Word/Excel</w:t>
      </w:r>
    </w:p>
    <w:p>
      <w:pPr>
        <w:pStyle w:val="ListBullet"/>
        <w:ind w:left="360"/>
      </w:pPr>
      <w:r>
        <w:t>Organigramas visibles y claros</w:t>
      </w:r>
    </w:p>
    <w:p>
      <w:pPr>
        <w:pStyle w:val="ListBullet"/>
        <w:ind w:left="360"/>
      </w:pPr>
      <w:r>
        <w:t>Matriz de OKRs con métricas</w:t>
      </w:r>
    </w:p>
    <w:p>
      <w:pPr>
        <w:pStyle w:val="ListBullet"/>
        <w:ind w:left="360"/>
      </w:pPr>
      <w:r>
        <w:t>Plan estratégico 1 año con hitos</w:t>
      </w:r>
    </w:p>
    <w:p>
      <w:pPr>
        <w:pStyle w:val="ListBullet"/>
        <w:ind w:left="360"/>
      </w:pPr>
      <w:r>
        <w:t>Presentación para directivos</w:t>
      </w:r>
    </w:p>
    <w:p>
      <w:pPr>
        <w:pStyle w:val="Heading2"/>
      </w:pPr>
      <w:r>
        <w:rPr>
          <w:color w:val="6E2438"/>
        </w:rPr>
        <w:t>Modalidad de trabajo y Precio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4F8"/>
          </w:tcPr>
          <w:p>
            <w:r>
              <w:t>Modalidad</w:t>
            </w:r>
          </w:p>
        </w:tc>
        <w:tc>
          <w:tcPr>
            <w:tcW w:type="dxa" w:w="5040"/>
            <w:shd w:fill="E8F4F8"/>
          </w:tcPr>
          <w:p>
            <w:r>
              <w:t>Descripción</w:t>
            </w:r>
          </w:p>
        </w:tc>
      </w:tr>
      <w:tr>
        <w:tc>
          <w:tcPr>
            <w:tcW w:type="dxa" w:w="5040"/>
          </w:tcPr>
          <w:p>
            <w:r>
              <w:t>Proyecto (50% adelanto + 50% entrega)</w:t>
            </w:r>
          </w:p>
        </w:tc>
        <w:tc>
          <w:tcPr>
            <w:tcW w:type="dxa" w:w="5040"/>
          </w:tcPr>
          <w:p>
            <w:r>
              <w:t>Precio referencial: S/ 600 - S/ 2,500 (Arequipa base)</w:t>
            </w:r>
          </w:p>
        </w:tc>
      </w:tr>
      <w:tr>
        <w:tc>
          <w:tcPr>
            <w:tcW w:type="dxa" w:w="5040"/>
          </w:tcPr>
          <w:p>
            <w:r>
              <w:t>Timeline</w:t>
            </w:r>
          </w:p>
        </w:tc>
        <w:tc>
          <w:tcPr>
            <w:tcW w:type="dxa" w:w="5040"/>
          </w:tcPr>
          <w:p>
            <w:r>
              <w:t>2-4 semanas según complejidad</w:t>
            </w:r>
          </w:p>
        </w:tc>
      </w:tr>
    </w:tbl>
    <w:p/>
    <w:p>
      <w:pPr>
        <w:spacing w:after="240"/>
      </w:pPr>
      <w:r>
        <w:rPr>
          <w:b/>
        </w:rPr>
        <w:t xml:space="preserve">Perfil ideal del cliente: </w:t>
      </w:r>
      <w:r>
        <w:t>Empresas en crecimiento o reestructuración que necesitan claridad en su modelo organizacional.</w:t>
      </w:r>
    </w:p>
    <w:p>
      <w:pPr>
        <w:pStyle w:val="Heading2"/>
      </w:pPr>
      <w:r>
        <w:rPr>
          <w:color w:val="6E2438"/>
        </w:rPr>
        <w:t>Por qué elegirnos para esto</w:t>
      </w:r>
    </w:p>
    <w:p>
      <w:pPr>
        <w:pStyle w:val="ListBullet"/>
        <w:ind w:left="360"/>
      </w:pPr>
      <w:r>
        <w:t>Ejecutamos, no solo diagnosticamos</w:t>
      </w:r>
    </w:p>
    <w:p>
      <w:pPr>
        <w:pStyle w:val="ListBullet"/>
        <w:ind w:left="360"/>
      </w:pPr>
      <w:r>
        <w:t>Entregables listos para usar desde el primer día</w:t>
      </w:r>
    </w:p>
    <w:p>
      <w:pPr>
        <w:pStyle w:val="ListBullet"/>
        <w:ind w:left="360"/>
      </w:pPr>
      <w:r>
        <w:t>Alineamos estructura con objetivos de negocio</w:t>
      </w:r>
    </w:p>
    <w:p>
      <w:pPr>
        <w:spacing w:before="240"/>
      </w:pPr>
      <w:r>
        <w:rPr>
          <w:b/>
        </w:rPr>
        <w:t xml:space="preserve">Próximo paso: </w:t>
      </w:r>
      <w:r>
        <w:t>Solicita una reunión de diagnóstico (sin costo) para conocer tu situación específica y definir la propuesta exacta.</w:t>
      </w:r>
    </w:p>
    <w:p>
      <w:r>
        <w:br w:type="page"/>
      </w:r>
    </w:p>
    <w:p>
      <w:pPr>
        <w:pStyle w:val="Heading1"/>
        <w:spacing w:after="120"/>
      </w:pPr>
      <w:r>
        <w:rPr>
          <w:color w:val="C98A2B"/>
        </w:rPr>
        <w:t>U2: Atracción y Gestión del Talento</w:t>
      </w:r>
    </w:p>
    <w:p>
      <w:pPr>
        <w:spacing w:after="240"/>
      </w:pPr>
      <w:r>
        <w:rPr>
          <w:i/>
          <w:sz w:val="22"/>
        </w:rPr>
        <w:t>Reclutamos, evaluamos y desarrollamos el talento correcto. Desde la búsqueda de candidatos hasta evaluaciones de desempeño y planes de onboarding.</w:t>
      </w:r>
    </w:p>
    <w:p>
      <w:pPr>
        <w:pStyle w:val="Heading2"/>
      </w:pPr>
      <w:r>
        <w:rPr>
          <w:color w:val="C98A2B"/>
        </w:rPr>
        <w:t>¿Qué incluye?</w:t>
      </w:r>
    </w:p>
    <w:p>
      <w:pPr>
        <w:pStyle w:val="ListBullet"/>
        <w:ind w:left="360"/>
      </w:pPr>
      <w:r>
        <w:t>Reclutamiento y selección especializada</w:t>
      </w:r>
    </w:p>
    <w:p>
      <w:pPr>
        <w:pStyle w:val="ListBullet"/>
        <w:ind w:left="360"/>
      </w:pPr>
      <w:r>
        <w:t>Evaluación de desempeño con instrumentos válidos</w:t>
      </w:r>
    </w:p>
    <w:p>
      <w:pPr>
        <w:pStyle w:val="ListBullet"/>
        <w:ind w:left="360"/>
      </w:pPr>
      <w:r>
        <w:t>Diseño de procesos de onboarding</w:t>
      </w:r>
    </w:p>
    <w:p>
      <w:pPr>
        <w:pStyle w:val="ListBullet"/>
        <w:ind w:left="360"/>
      </w:pPr>
      <w:r>
        <w:t>Assessment Center para evaluación de potencial</w:t>
      </w:r>
    </w:p>
    <w:p>
      <w:pPr>
        <w:pStyle w:val="ListBullet"/>
        <w:ind w:left="360"/>
      </w:pPr>
      <w:r>
        <w:t>Perfiles de puesto optimizados</w:t>
      </w:r>
    </w:p>
    <w:p>
      <w:pPr>
        <w:pStyle w:val="ListBullet"/>
        <w:ind w:left="360"/>
      </w:pPr>
      <w:r>
        <w:t>Planes de retención y desarrollo</w:t>
      </w:r>
    </w:p>
    <w:p>
      <w:pPr>
        <w:pStyle w:val="Heading2"/>
      </w:pPr>
      <w:r>
        <w:rPr>
          <w:color w:val="C98A2B"/>
        </w:rPr>
        <w:t>Entregables típicos</w:t>
      </w:r>
    </w:p>
    <w:p>
      <w:pPr>
        <w:pStyle w:val="ListBullet"/>
        <w:ind w:left="360"/>
      </w:pPr>
      <w:r>
        <w:t>3 candidatos finalistas por plaza (preseleccionados)</w:t>
      </w:r>
    </w:p>
    <w:p>
      <w:pPr>
        <w:pStyle w:val="ListBullet"/>
        <w:ind w:left="360"/>
      </w:pPr>
      <w:r>
        <w:t>Informe de evaluación por persona</w:t>
      </w:r>
    </w:p>
    <w:p>
      <w:pPr>
        <w:pStyle w:val="ListBullet"/>
        <w:ind w:left="360"/>
      </w:pPr>
      <w:r>
        <w:t>Manual de onboarding documentado</w:t>
      </w:r>
    </w:p>
    <w:p>
      <w:pPr>
        <w:pStyle w:val="ListBullet"/>
        <w:ind w:left="360"/>
      </w:pPr>
      <w:r>
        <w:t>Informe grupal del Assessment</w:t>
      </w:r>
    </w:p>
    <w:p>
      <w:pPr>
        <w:pStyle w:val="ListBullet"/>
        <w:ind w:left="360"/>
      </w:pPr>
      <w:r>
        <w:t>Recomendaciones de colocación</w:t>
      </w:r>
    </w:p>
    <w:p>
      <w:pPr>
        <w:pStyle w:val="ListBullet"/>
        <w:ind w:left="360"/>
      </w:pPr>
      <w:r>
        <w:t>Plan individual de desarrollo por persona</w:t>
      </w:r>
    </w:p>
    <w:p>
      <w:pPr>
        <w:pStyle w:val="Heading2"/>
      </w:pPr>
      <w:r>
        <w:rPr>
          <w:color w:val="C98A2B"/>
        </w:rPr>
        <w:t>Modalidad de trabajo y Precio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4F8"/>
          </w:tcPr>
          <w:p>
            <w:r>
              <w:t>Modalidad</w:t>
            </w:r>
          </w:p>
        </w:tc>
        <w:tc>
          <w:tcPr>
            <w:tcW w:type="dxa" w:w="5040"/>
            <w:shd w:fill="E8F4F8"/>
          </w:tcPr>
          <w:p>
            <w:r>
              <w:t>Descripción</w:t>
            </w:r>
          </w:p>
        </w:tc>
      </w:tr>
      <w:tr>
        <w:tc>
          <w:tcPr>
            <w:tcW w:type="dxa" w:w="5040"/>
          </w:tcPr>
          <w:p>
            <w:r>
              <w:t>Proyecto (por plaza o por evaluación)</w:t>
            </w:r>
          </w:p>
        </w:tc>
        <w:tc>
          <w:tcPr>
            <w:tcW w:type="dxa" w:w="5040"/>
          </w:tcPr>
          <w:p>
            <w:r>
              <w:t>Precio referencial: S/ 400-800 por plaza; S/ 600-1,500 evaluaciones (Arequipa base)</w:t>
            </w:r>
          </w:p>
        </w:tc>
      </w:tr>
      <w:tr>
        <w:tc>
          <w:tcPr>
            <w:tcW w:type="dxa" w:w="5040"/>
          </w:tcPr>
          <w:p>
            <w:r>
              <w:t>Timeline</w:t>
            </w:r>
          </w:p>
        </w:tc>
        <w:tc>
          <w:tcPr>
            <w:tcW w:type="dxa" w:w="5040"/>
          </w:tcPr>
          <w:p>
            <w:r>
              <w:t>2-3 semanas por proceso; Assessment 1 día</w:t>
            </w:r>
          </w:p>
        </w:tc>
      </w:tr>
    </w:tbl>
    <w:p/>
    <w:p>
      <w:pPr>
        <w:spacing w:after="240"/>
      </w:pPr>
      <w:r>
        <w:rPr>
          <w:b/>
        </w:rPr>
        <w:t xml:space="preserve">Perfil ideal del cliente: </w:t>
      </w:r>
      <w:r>
        <w:t>Empresas que necesitan personal calificado, con rotación frecuente o proyectos de crecimiento acelerado.</w:t>
      </w:r>
    </w:p>
    <w:p>
      <w:pPr>
        <w:pStyle w:val="Heading2"/>
      </w:pPr>
      <w:r>
        <w:rPr>
          <w:color w:val="C98A2B"/>
        </w:rPr>
        <w:t>Por qué elegirnos para esto</w:t>
      </w:r>
    </w:p>
    <w:p>
      <w:pPr>
        <w:pStyle w:val="ListBullet"/>
        <w:ind w:left="360"/>
      </w:pPr>
      <w:r>
        <w:t>Conocemos el mercado local de talentos</w:t>
      </w:r>
    </w:p>
    <w:p>
      <w:pPr>
        <w:pStyle w:val="ListBullet"/>
        <w:ind w:left="360"/>
      </w:pPr>
      <w:r>
        <w:t>Evaluamos más allá del CV: habilidades, cultura fit</w:t>
      </w:r>
    </w:p>
    <w:p>
      <w:pPr>
        <w:pStyle w:val="ListBullet"/>
        <w:ind w:left="360"/>
      </w:pPr>
      <w:r>
        <w:t>Onboarding estructurado reduce rotación temprana</w:t>
      </w:r>
    </w:p>
    <w:p>
      <w:pPr>
        <w:spacing w:before="240"/>
      </w:pPr>
      <w:r>
        <w:rPr>
          <w:b/>
        </w:rPr>
        <w:t xml:space="preserve">Próximo paso: </w:t>
      </w:r>
      <w:r>
        <w:t>Solicita una reunión de diagnóstico (sin costo) para conocer tu situación específica y definir la propuesta exacta.</w:t>
      </w:r>
    </w:p>
    <w:p>
      <w:r>
        <w:br w:type="page"/>
      </w:r>
    </w:p>
    <w:p>
      <w:pPr>
        <w:pStyle w:val="Heading1"/>
        <w:spacing w:after="120"/>
      </w:pPr>
      <w:r>
        <w:rPr>
          <w:color w:val="3E7A5D"/>
        </w:rPr>
        <w:t>U3: Formación y Desarrollo</w:t>
      </w:r>
    </w:p>
    <w:p>
      <w:pPr>
        <w:spacing w:after="240"/>
      </w:pPr>
      <w:r>
        <w:rPr>
          <w:i/>
          <w:sz w:val="22"/>
        </w:rPr>
        <w:t>Capacitamos a tu equipo en liderazgo, habilidades blandas y competencias técnicas. Desde talleres puntuales hasta escuelas de liderazgo de largo plazo.</w:t>
      </w:r>
    </w:p>
    <w:p>
      <w:pPr>
        <w:pStyle w:val="Heading2"/>
      </w:pPr>
      <w:r>
        <w:rPr>
          <w:color w:val="3E7A5D"/>
        </w:rPr>
        <w:t>¿Qué incluye?</w:t>
      </w:r>
    </w:p>
    <w:p>
      <w:pPr>
        <w:pStyle w:val="ListBullet"/>
        <w:ind w:left="360"/>
      </w:pPr>
      <w:r>
        <w:t>Talleres de 4h y 8h con temáticas específicas</w:t>
      </w:r>
    </w:p>
    <w:p>
      <w:pPr>
        <w:pStyle w:val="ListBullet"/>
        <w:ind w:left="360"/>
      </w:pPr>
      <w:r>
        <w:t>Escuela de Liderazgo (módulos de 3 meses)</w:t>
      </w:r>
    </w:p>
    <w:p>
      <w:pPr>
        <w:pStyle w:val="ListBullet"/>
        <w:ind w:left="360"/>
      </w:pPr>
      <w:r>
        <w:t>Habilidades directivas y gestión de conflictos</w:t>
      </w:r>
    </w:p>
    <w:p>
      <w:pPr>
        <w:pStyle w:val="ListBullet"/>
        <w:ind w:left="360"/>
      </w:pPr>
      <w:r>
        <w:t>Comunicación asertiva e inteligencia emocional</w:t>
      </w:r>
    </w:p>
    <w:p>
      <w:pPr>
        <w:pStyle w:val="ListBullet"/>
        <w:ind w:left="360"/>
      </w:pPr>
      <w:r>
        <w:t>Team building y cohesión de equipos</w:t>
      </w:r>
    </w:p>
    <w:p>
      <w:pPr>
        <w:pStyle w:val="ListBullet"/>
        <w:ind w:left="360"/>
      </w:pPr>
      <w:r>
        <w:t>Planes de sucesión y carrera</w:t>
      </w:r>
    </w:p>
    <w:p>
      <w:pPr>
        <w:pStyle w:val="ListBullet"/>
        <w:ind w:left="360"/>
      </w:pPr>
      <w:r>
        <w:t>Evaluación de potencial y mapeo de talento</w:t>
      </w:r>
    </w:p>
    <w:p>
      <w:pPr>
        <w:pStyle w:val="Heading2"/>
      </w:pPr>
      <w:r>
        <w:rPr>
          <w:color w:val="3E7A5D"/>
        </w:rPr>
        <w:t>Entregables típicos</w:t>
      </w:r>
    </w:p>
    <w:p>
      <w:pPr>
        <w:pStyle w:val="ListBullet"/>
        <w:ind w:left="360"/>
      </w:pPr>
      <w:r>
        <w:t>Material didáctico impreso y digital</w:t>
      </w:r>
    </w:p>
    <w:p>
      <w:pPr>
        <w:pStyle w:val="ListBullet"/>
        <w:ind w:left="360"/>
      </w:pPr>
      <w:r>
        <w:t>Certificados E&amp;T para cada asistente</w:t>
      </w:r>
    </w:p>
    <w:p>
      <w:pPr>
        <w:pStyle w:val="ListBullet"/>
        <w:ind w:left="360"/>
      </w:pPr>
      <w:r>
        <w:t>Informe de logros por taller</w:t>
      </w:r>
    </w:p>
    <w:p>
      <w:pPr>
        <w:pStyle w:val="ListBullet"/>
        <w:ind w:left="360"/>
      </w:pPr>
      <w:r>
        <w:t>Plan de aplicación post-taller</w:t>
      </w:r>
    </w:p>
    <w:p>
      <w:pPr>
        <w:pStyle w:val="ListBullet"/>
        <w:ind w:left="360"/>
      </w:pPr>
      <w:r>
        <w:t>Seguimiento a 30/60 días</w:t>
      </w:r>
    </w:p>
    <w:p>
      <w:pPr>
        <w:pStyle w:val="ListBullet"/>
        <w:ind w:left="360"/>
      </w:pPr>
      <w:r>
        <w:t>Caso de estudio si aplica</w:t>
      </w:r>
    </w:p>
    <w:p>
      <w:pPr>
        <w:pStyle w:val="Heading2"/>
      </w:pPr>
      <w:r>
        <w:rPr>
          <w:color w:val="3E7A5D"/>
        </w:rPr>
        <w:t>Modalidad de trabajo y Precio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4F8"/>
          </w:tcPr>
          <w:p>
            <w:r>
              <w:t>Modalidad</w:t>
            </w:r>
          </w:p>
        </w:tc>
        <w:tc>
          <w:tcPr>
            <w:tcW w:type="dxa" w:w="5040"/>
            <w:shd w:fill="E8F4F8"/>
          </w:tcPr>
          <w:p>
            <w:r>
              <w:t>Descripción</w:t>
            </w:r>
          </w:p>
        </w:tc>
      </w:tr>
      <w:tr>
        <w:tc>
          <w:tcPr>
            <w:tcW w:type="dxa" w:w="5040"/>
          </w:tcPr>
          <w:p>
            <w:r>
              <w:t>Proyecto por taller</w:t>
            </w:r>
          </w:p>
        </w:tc>
        <w:tc>
          <w:tcPr>
            <w:tcW w:type="dxa" w:w="5040"/>
          </w:tcPr>
          <w:p>
            <w:r>
              <w:t>Precio referencial: S/ 500-800 (taller 4h); S/ 2,000-3,500 (Escuela 3 meses) - Arequipa base</w:t>
            </w:r>
          </w:p>
        </w:tc>
      </w:tr>
      <w:tr>
        <w:tc>
          <w:tcPr>
            <w:tcW w:type="dxa" w:w="5040"/>
          </w:tcPr>
          <w:p>
            <w:r>
              <w:t>Timeline</w:t>
            </w:r>
          </w:p>
        </w:tc>
        <w:tc>
          <w:tcPr>
            <w:tcW w:type="dxa" w:w="5040"/>
          </w:tcPr>
          <w:p>
            <w:r>
              <w:t>1-3 horas (taller puntual); 12 semanas (Escuela)</w:t>
            </w:r>
          </w:p>
        </w:tc>
      </w:tr>
    </w:tbl>
    <w:p/>
    <w:p>
      <w:pPr>
        <w:spacing w:after="240"/>
      </w:pPr>
      <w:r>
        <w:rPr>
          <w:b/>
        </w:rPr>
        <w:t xml:space="preserve">Perfil ideal del cliente: </w:t>
      </w:r>
      <w:r>
        <w:t>Empresas que buscan fortalecer capacidades directivas o preparar mandos medios para crecer.</w:t>
      </w:r>
    </w:p>
    <w:p>
      <w:pPr>
        <w:pStyle w:val="Heading2"/>
      </w:pPr>
      <w:r>
        <w:rPr>
          <w:color w:val="3E7A5D"/>
        </w:rPr>
        <w:t>Por qué elegirnos para esto</w:t>
      </w:r>
    </w:p>
    <w:p>
      <w:pPr>
        <w:pStyle w:val="ListBullet"/>
        <w:ind w:left="360"/>
      </w:pPr>
      <w:r>
        <w:t>Facilitadores con experiencia real en operaciones</w:t>
      </w:r>
    </w:p>
    <w:p>
      <w:pPr>
        <w:pStyle w:val="ListBullet"/>
        <w:ind w:left="360"/>
      </w:pPr>
      <w:r>
        <w:t>Temática adaptable a tu industria específica</w:t>
      </w:r>
    </w:p>
    <w:p>
      <w:pPr>
        <w:pStyle w:val="ListBullet"/>
        <w:ind w:left="360"/>
      </w:pPr>
      <w:r>
        <w:t>Seguimiento post-taller para asegurar aplicación</w:t>
      </w:r>
    </w:p>
    <w:p>
      <w:pPr>
        <w:spacing w:before="240"/>
      </w:pPr>
      <w:r>
        <w:rPr>
          <w:b/>
        </w:rPr>
        <w:t xml:space="preserve">Próximo paso: </w:t>
      </w:r>
      <w:r>
        <w:t>Solicita una reunión de diagnóstico (sin costo) para conocer tu situación específica y definir la propuesta exacta.</w:t>
      </w:r>
    </w:p>
    <w:p>
      <w:r>
        <w:br w:type="page"/>
      </w:r>
    </w:p>
    <w:p>
      <w:pPr>
        <w:pStyle w:val="Heading1"/>
        <w:spacing w:after="120"/>
      </w:pPr>
      <w:r>
        <w:rPr>
          <w:color w:val="B65330"/>
        </w:rPr>
        <w:t>U4: Bienestar y Gestión Social</w:t>
      </w:r>
    </w:p>
    <w:p>
      <w:pPr>
        <w:spacing w:after="240"/>
      </w:pPr>
      <w:r>
        <w:rPr>
          <w:i/>
          <w:sz w:val="22"/>
        </w:rPr>
        <w:t>Recuperamos subsidios EsSalud, manejamos casos sociales complejos y construimos programas de bienestar integral. Única unidad con modelo de riesgo compartido.</w:t>
      </w:r>
    </w:p>
    <w:p>
      <w:pPr>
        <w:pStyle w:val="Heading2"/>
      </w:pPr>
      <w:r>
        <w:rPr>
          <w:color w:val="B65330"/>
        </w:rPr>
        <w:t>¿Qué incluye?</w:t>
      </w:r>
    </w:p>
    <w:p>
      <w:pPr>
        <w:pStyle w:val="ListBullet"/>
        <w:ind w:left="360"/>
      </w:pPr>
      <w:r>
        <w:t>Recuperación de subsidios EsSalud</w:t>
      </w:r>
    </w:p>
    <w:p>
      <w:pPr>
        <w:pStyle w:val="ListBullet"/>
        <w:ind w:left="360"/>
      </w:pPr>
      <w:r>
        <w:t>Gestión integral de casos sociales</w:t>
      </w:r>
    </w:p>
    <w:p>
      <w:pPr>
        <w:pStyle w:val="ListBullet"/>
        <w:ind w:left="360"/>
      </w:pPr>
      <w:r>
        <w:t>Diagnóstico de necesidades de bienestar</w:t>
      </w:r>
    </w:p>
    <w:p>
      <w:pPr>
        <w:pStyle w:val="ListBullet"/>
        <w:ind w:left="360"/>
      </w:pPr>
      <w:r>
        <w:t>Programas de salud mental laboral</w:t>
      </w:r>
    </w:p>
    <w:p>
      <w:pPr>
        <w:pStyle w:val="ListBullet"/>
        <w:ind w:left="360"/>
      </w:pPr>
      <w:r>
        <w:t>Campañas de integración y cohesión</w:t>
      </w:r>
    </w:p>
    <w:p>
      <w:pPr>
        <w:pStyle w:val="ListBullet"/>
        <w:ind w:left="360"/>
      </w:pPr>
      <w:r>
        <w:t>Responsabilidad social corporativa</w:t>
      </w:r>
    </w:p>
    <w:p>
      <w:pPr>
        <w:pStyle w:val="ListBullet"/>
        <w:ind w:left="360"/>
      </w:pPr>
      <w:r>
        <w:t>Relaciones comunitarias (si aplica)</w:t>
      </w:r>
    </w:p>
    <w:p>
      <w:pPr>
        <w:pStyle w:val="ListBullet"/>
        <w:ind w:left="360"/>
      </w:pPr>
      <w:r>
        <w:t>Sostenibilidad e inclusión</w:t>
      </w:r>
    </w:p>
    <w:p>
      <w:pPr>
        <w:pStyle w:val="Heading2"/>
      </w:pPr>
      <w:r>
        <w:rPr>
          <w:color w:val="B65330"/>
        </w:rPr>
        <w:t>Entregables típicos</w:t>
      </w:r>
    </w:p>
    <w:p>
      <w:pPr>
        <w:pStyle w:val="ListBullet"/>
        <w:ind w:left="360"/>
      </w:pPr>
      <w:r>
        <w:t>Informe de subsidios recuperados</w:t>
      </w:r>
    </w:p>
    <w:p>
      <w:pPr>
        <w:pStyle w:val="ListBullet"/>
        <w:ind w:left="360"/>
      </w:pPr>
      <w:r>
        <w:t>Plan de gestión de casos</w:t>
      </w:r>
    </w:p>
    <w:p>
      <w:pPr>
        <w:pStyle w:val="ListBullet"/>
        <w:ind w:left="360"/>
      </w:pPr>
      <w:r>
        <w:t>Diagnóstico de bienestar con recomendaciones</w:t>
      </w:r>
    </w:p>
    <w:p>
      <w:pPr>
        <w:pStyle w:val="ListBullet"/>
        <w:ind w:left="360"/>
      </w:pPr>
      <w:r>
        <w:t>Calendario de actividades de bienestar</w:t>
      </w:r>
    </w:p>
    <w:p>
      <w:pPr>
        <w:pStyle w:val="ListBullet"/>
        <w:ind w:left="360"/>
      </w:pPr>
      <w:r>
        <w:t>Informes mensuales de gestión</w:t>
      </w:r>
    </w:p>
    <w:p>
      <w:pPr>
        <w:pStyle w:val="ListBullet"/>
        <w:ind w:left="360"/>
      </w:pPr>
      <w:r>
        <w:t>Propuestas de RSC alineadas con la empresa</w:t>
      </w:r>
    </w:p>
    <w:p>
      <w:pPr>
        <w:pStyle w:val="Heading2"/>
      </w:pPr>
      <w:r>
        <w:rPr>
          <w:color w:val="B65330"/>
        </w:rPr>
        <w:t>Modalidad de trabajo y Precio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4F8"/>
          </w:tcPr>
          <w:p>
            <w:r>
              <w:t>Modalidad</w:t>
            </w:r>
          </w:p>
        </w:tc>
        <w:tc>
          <w:tcPr>
            <w:tcW w:type="dxa" w:w="5040"/>
            <w:shd w:fill="E8F4F8"/>
          </w:tcPr>
          <w:p>
            <w:r>
              <w:t>Descripción</w:t>
            </w:r>
          </w:p>
        </w:tc>
      </w:tr>
      <w:tr>
        <w:tc>
          <w:tcPr>
            <w:tcW w:type="dxa" w:w="5040"/>
          </w:tcPr>
          <w:p>
            <w:r>
              <w:t>% de éxito (20-25% del monto recuperado, sin costo si no se recupera)</w:t>
            </w:r>
          </w:p>
        </w:tc>
        <w:tc>
          <w:tcPr>
            <w:tcW w:type="dxa" w:w="5040"/>
          </w:tcPr>
          <w:p>
            <w:r>
              <w:t>Precio referencial: % del monto recuperado o S/ 800-2,000/mes (Arequipa base)</w:t>
            </w:r>
          </w:p>
        </w:tc>
      </w:tr>
      <w:tr>
        <w:tc>
          <w:tcPr>
            <w:tcW w:type="dxa" w:w="5040"/>
          </w:tcPr>
          <w:p>
            <w:r>
              <w:t>Timeline</w:t>
            </w:r>
          </w:p>
        </w:tc>
        <w:tc>
          <w:tcPr>
            <w:tcW w:type="dxa" w:w="5040"/>
          </w:tcPr>
          <w:p>
            <w:r>
              <w:t>Gestión continua; recuperación 1-3 meses según caso</w:t>
            </w:r>
          </w:p>
        </w:tc>
      </w:tr>
    </w:tbl>
    <w:p/>
    <w:p>
      <w:pPr>
        <w:spacing w:after="240"/>
      </w:pPr>
      <w:r>
        <w:rPr>
          <w:b/>
        </w:rPr>
        <w:t xml:space="preserve">Perfil ideal del cliente: </w:t>
      </w:r>
      <w:r>
        <w:t>Empresas con múltiples trabajadores en EsSalud, o que buscan diferenciarse en bienestar para retener talento.</w:t>
      </w:r>
    </w:p>
    <w:p>
      <w:pPr>
        <w:pStyle w:val="Heading2"/>
      </w:pPr>
      <w:r>
        <w:rPr>
          <w:color w:val="B65330"/>
        </w:rPr>
        <w:t>Por qué elegirnos para esto</w:t>
      </w:r>
    </w:p>
    <w:p>
      <w:pPr>
        <w:pStyle w:val="ListBullet"/>
        <w:ind w:left="360"/>
      </w:pPr>
      <w:r>
        <w:t>Experta legal-social: Denisse Tunque (especialista en subsidios)</w:t>
      </w:r>
    </w:p>
    <w:p>
      <w:pPr>
        <w:pStyle w:val="ListBullet"/>
        <w:ind w:left="360"/>
      </w:pPr>
      <w:r>
        <w:t>Modelo de éxito alinea incentivos con tu empresa</w:t>
      </w:r>
    </w:p>
    <w:p>
      <w:pPr>
        <w:pStyle w:val="ListBullet"/>
        <w:ind w:left="360"/>
      </w:pPr>
      <w:r>
        <w:t>Única en la región con esta especialidad</w:t>
      </w:r>
    </w:p>
    <w:p>
      <w:pPr>
        <w:spacing w:before="240"/>
      </w:pPr>
      <w:r>
        <w:rPr>
          <w:b/>
        </w:rPr>
        <w:t xml:space="preserve">Próximo paso: </w:t>
      </w:r>
      <w:r>
        <w:t>Solicita una reunión de diagnóstico (sin costo) para conocer tu situación específica y definir la propuesta exacta.</w:t>
      </w:r>
    </w:p>
    <w:p>
      <w:r>
        <w:br w:type="page"/>
      </w:r>
    </w:p>
    <w:p>
      <w:pPr>
        <w:pStyle w:val="Heading1"/>
        <w:spacing w:after="120"/>
      </w:pPr>
      <w:r>
        <w:rPr>
          <w:color w:val="1F5C73"/>
        </w:rPr>
        <w:t>U5: Cultura y Experiencia Organizacional</w:t>
      </w:r>
    </w:p>
    <w:p>
      <w:pPr>
        <w:spacing w:after="240"/>
      </w:pPr>
      <w:r>
        <w:rPr>
          <w:i/>
          <w:sz w:val="22"/>
        </w:rPr>
        <w:t>Medimos y mejoramos el clima laboral, fortalecemos la cultura, y diseñamos experiencias de trabajo que atraen y retienen talento.</w:t>
      </w:r>
    </w:p>
    <w:p>
      <w:pPr>
        <w:pStyle w:val="Heading2"/>
      </w:pPr>
      <w:r>
        <w:rPr>
          <w:color w:val="1F5C73"/>
        </w:rPr>
        <w:t>¿Qué incluye?</w:t>
      </w:r>
    </w:p>
    <w:p>
      <w:pPr>
        <w:pStyle w:val="ListBullet"/>
        <w:ind w:left="360"/>
      </w:pPr>
      <w:r>
        <w:t>Diagnóstico de clima organizacional</w:t>
      </w:r>
    </w:p>
    <w:p>
      <w:pPr>
        <w:pStyle w:val="ListBullet"/>
        <w:ind w:left="360"/>
      </w:pPr>
      <w:r>
        <w:t>Medición de cultura con instrumentos válidos</w:t>
      </w:r>
    </w:p>
    <w:p>
      <w:pPr>
        <w:pStyle w:val="ListBullet"/>
        <w:ind w:left="360"/>
      </w:pPr>
      <w:r>
        <w:t>Programas de reconocimiento interno</w:t>
      </w:r>
    </w:p>
    <w:p>
      <w:pPr>
        <w:pStyle w:val="ListBullet"/>
        <w:ind w:left="360"/>
      </w:pPr>
      <w:r>
        <w:t>Gestión del cambio organizacional</w:t>
      </w:r>
    </w:p>
    <w:p>
      <w:pPr>
        <w:pStyle w:val="ListBullet"/>
        <w:ind w:left="360"/>
      </w:pPr>
      <w:r>
        <w:t>Diseño de experiencias de empleado</w:t>
      </w:r>
    </w:p>
    <w:p>
      <w:pPr>
        <w:pStyle w:val="ListBullet"/>
        <w:ind w:left="360"/>
      </w:pPr>
      <w:r>
        <w:t>Programas de pertenencia e inclusión</w:t>
      </w:r>
    </w:p>
    <w:p>
      <w:pPr>
        <w:pStyle w:val="ListBullet"/>
        <w:ind w:left="360"/>
      </w:pPr>
      <w:r>
        <w:t>Análisis de rotación y satisfacción</w:t>
      </w:r>
    </w:p>
    <w:p>
      <w:pPr>
        <w:pStyle w:val="Heading2"/>
      </w:pPr>
      <w:r>
        <w:rPr>
          <w:color w:val="1F5C73"/>
        </w:rPr>
        <w:t>Entregables típicos</w:t>
      </w:r>
    </w:p>
    <w:p>
      <w:pPr>
        <w:pStyle w:val="ListBullet"/>
        <w:ind w:left="360"/>
      </w:pPr>
      <w:r>
        <w:t>Reporte de clima con análisis por área</w:t>
      </w:r>
    </w:p>
    <w:p>
      <w:pPr>
        <w:pStyle w:val="ListBullet"/>
        <w:ind w:left="360"/>
      </w:pPr>
      <w:r>
        <w:t>Matriz de cultura (valores vs. comportamientos)</w:t>
      </w:r>
    </w:p>
    <w:p>
      <w:pPr>
        <w:pStyle w:val="ListBullet"/>
        <w:ind w:left="360"/>
      </w:pPr>
      <w:r>
        <w:t>Plan de acción por dimensión débil</w:t>
      </w:r>
    </w:p>
    <w:p>
      <w:pPr>
        <w:pStyle w:val="ListBullet"/>
        <w:ind w:left="360"/>
      </w:pPr>
      <w:r>
        <w:t>Propuestas de reconocimiento implementables</w:t>
      </w:r>
    </w:p>
    <w:p>
      <w:pPr>
        <w:pStyle w:val="ListBullet"/>
        <w:ind w:left="360"/>
      </w:pPr>
      <w:r>
        <w:t>Roadmap de gestión del cambio</w:t>
      </w:r>
    </w:p>
    <w:p>
      <w:pPr>
        <w:pStyle w:val="ListBullet"/>
        <w:ind w:left="360"/>
      </w:pPr>
      <w:r>
        <w:t>Presentación para el directorio</w:t>
      </w:r>
    </w:p>
    <w:p>
      <w:pPr>
        <w:pStyle w:val="Heading2"/>
      </w:pPr>
      <w:r>
        <w:rPr>
          <w:color w:val="1F5C73"/>
        </w:rPr>
        <w:t>Modalidad de trabajo y Precio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4F8"/>
          </w:tcPr>
          <w:p>
            <w:r>
              <w:t>Modalidad</w:t>
            </w:r>
          </w:p>
        </w:tc>
        <w:tc>
          <w:tcPr>
            <w:tcW w:type="dxa" w:w="5040"/>
            <w:shd w:fill="E8F4F8"/>
          </w:tcPr>
          <w:p>
            <w:r>
              <w:t>Descripción</w:t>
            </w:r>
          </w:p>
        </w:tc>
      </w:tr>
      <w:tr>
        <w:tc>
          <w:tcPr>
            <w:tcW w:type="dxa" w:w="5040"/>
          </w:tcPr>
          <w:p>
            <w:r>
              <w:t>Proyecto (diagnóstico + plan)</w:t>
            </w:r>
          </w:p>
        </w:tc>
        <w:tc>
          <w:tcPr>
            <w:tcW w:type="dxa" w:w="5040"/>
          </w:tcPr>
          <w:p>
            <w:r>
              <w:t>Precio referencial: S/ 700-1,400 (diagnóstico); S/ 1,000-2,000/mes (seguimiento) - Arequipa base</w:t>
            </w:r>
          </w:p>
        </w:tc>
      </w:tr>
      <w:tr>
        <w:tc>
          <w:tcPr>
            <w:tcW w:type="dxa" w:w="5040"/>
          </w:tcPr>
          <w:p>
            <w:r>
              <w:t>Timeline</w:t>
            </w:r>
          </w:p>
        </w:tc>
        <w:tc>
          <w:tcPr>
            <w:tcW w:type="dxa" w:w="5040"/>
          </w:tcPr>
          <w:p>
            <w:r>
              <w:t>2-3 semanas diagnóstico; seguimiento mensual o trimestral</w:t>
            </w:r>
          </w:p>
        </w:tc>
      </w:tr>
    </w:tbl>
    <w:p/>
    <w:p>
      <w:pPr>
        <w:spacing w:after="240"/>
      </w:pPr>
      <w:r>
        <w:rPr>
          <w:b/>
        </w:rPr>
        <w:t xml:space="preserve">Perfil ideal del cliente: </w:t>
      </w:r>
      <w:r>
        <w:t>Empresas con rotación alta, conflictividad interna, o en etapas de transformación cultural.</w:t>
      </w:r>
    </w:p>
    <w:p>
      <w:pPr>
        <w:pStyle w:val="Heading2"/>
      </w:pPr>
      <w:r>
        <w:rPr>
          <w:color w:val="1F5C73"/>
        </w:rPr>
        <w:t>Por qué elegirnos para esto</w:t>
      </w:r>
    </w:p>
    <w:p>
      <w:pPr>
        <w:pStyle w:val="ListBullet"/>
        <w:ind w:left="360"/>
      </w:pPr>
      <w:r>
        <w:t>Instrumentos validados científicamente</w:t>
      </w:r>
    </w:p>
    <w:p>
      <w:pPr>
        <w:pStyle w:val="ListBullet"/>
        <w:ind w:left="360"/>
      </w:pPr>
      <w:r>
        <w:t>Reporte diferenciado por áreas de la empresa</w:t>
      </w:r>
    </w:p>
    <w:p>
      <w:pPr>
        <w:pStyle w:val="ListBullet"/>
        <w:ind w:left="360"/>
      </w:pPr>
      <w:r>
        <w:t>Plan de acción conectado a OKRs empresariales</w:t>
      </w:r>
    </w:p>
    <w:p>
      <w:pPr>
        <w:spacing w:before="240"/>
      </w:pPr>
      <w:r>
        <w:rPr>
          <w:b/>
        </w:rPr>
        <w:t xml:space="preserve">Próximo paso: </w:t>
      </w:r>
      <w:r>
        <w:t>Solicita una reunión de diagnóstico (sin costo) para conocer tu situación específica y definir la propuesta exacta.</w:t>
      </w:r>
    </w:p>
    <w:p>
      <w:r>
        <w:br w:type="page"/>
      </w:r>
    </w:p>
    <w:p>
      <w:pPr>
        <w:pStyle w:val="Heading1"/>
        <w:spacing w:after="120"/>
      </w:pPr>
      <w:r>
        <w:rPr>
          <w:color w:val="6B3557"/>
        </w:rPr>
        <w:t>U6: Cumplimiento y Auditoría Laboral</w:t>
      </w:r>
    </w:p>
    <w:p>
      <w:pPr>
        <w:spacing w:after="240"/>
      </w:pPr>
      <w:r>
        <w:rPr>
          <w:i/>
          <w:sz w:val="22"/>
        </w:rPr>
        <w:t>Aseguran que tu empresa cumpla con toda la normativa laboral peruana. Desde diagnósticos hasta reglamentos y preparación para auditorías.</w:t>
      </w:r>
    </w:p>
    <w:p>
      <w:pPr>
        <w:pStyle w:val="Heading2"/>
      </w:pPr>
      <w:r>
        <w:rPr>
          <w:color w:val="6B3557"/>
        </w:rPr>
        <w:t>¿Qué incluye?</w:t>
      </w:r>
    </w:p>
    <w:p>
      <w:pPr>
        <w:pStyle w:val="ListBullet"/>
        <w:ind w:left="360"/>
      </w:pPr>
      <w:r>
        <w:t>Diagnóstico normativo laboral</w:t>
      </w:r>
    </w:p>
    <w:p>
      <w:pPr>
        <w:pStyle w:val="ListBullet"/>
        <w:ind w:left="360"/>
      </w:pPr>
      <w:r>
        <w:t>Diseño e implementación de Reglamento Interno</w:t>
      </w:r>
    </w:p>
    <w:p>
      <w:pPr>
        <w:pStyle w:val="ListBullet"/>
        <w:ind w:left="360"/>
      </w:pPr>
      <w:r>
        <w:t>Revisión de files de personal</w:t>
      </w:r>
    </w:p>
    <w:p>
      <w:pPr>
        <w:pStyle w:val="ListBullet"/>
        <w:ind w:left="360"/>
      </w:pPr>
      <w:r>
        <w:t>Formalización de contratos de trabajo</w:t>
      </w:r>
    </w:p>
    <w:p>
      <w:pPr>
        <w:pStyle w:val="ListBullet"/>
        <w:ind w:left="360"/>
      </w:pPr>
      <w:r>
        <w:t>Checklist para auditoría SUNAFIL</w:t>
      </w:r>
    </w:p>
    <w:p>
      <w:pPr>
        <w:pStyle w:val="ListBullet"/>
        <w:ind w:left="360"/>
      </w:pPr>
      <w:r>
        <w:t>Asesoría en beneficios (CTS, gratificaciones)</w:t>
      </w:r>
    </w:p>
    <w:p>
      <w:pPr>
        <w:pStyle w:val="ListBullet"/>
        <w:ind w:left="360"/>
      </w:pPr>
      <w:r>
        <w:t>Actualización de documentación legal</w:t>
      </w:r>
    </w:p>
    <w:p>
      <w:pPr>
        <w:pStyle w:val="Heading2"/>
      </w:pPr>
      <w:r>
        <w:rPr>
          <w:color w:val="6B3557"/>
        </w:rPr>
        <w:t>Entregables típicos</w:t>
      </w:r>
    </w:p>
    <w:p>
      <w:pPr>
        <w:pStyle w:val="ListBullet"/>
        <w:ind w:left="360"/>
      </w:pPr>
      <w:r>
        <w:t>Informe de cumplimiento normativo</w:t>
      </w:r>
    </w:p>
    <w:p>
      <w:pPr>
        <w:pStyle w:val="ListBullet"/>
        <w:ind w:left="360"/>
      </w:pPr>
      <w:r>
        <w:t>Reglamento Interno en Word (listo para usar)</w:t>
      </w:r>
    </w:p>
    <w:p>
      <w:pPr>
        <w:pStyle w:val="ListBullet"/>
        <w:ind w:left="360"/>
      </w:pPr>
      <w:r>
        <w:t>Plantillas de contrato actualizadas</w:t>
      </w:r>
    </w:p>
    <w:p>
      <w:pPr>
        <w:pStyle w:val="ListBullet"/>
        <w:ind w:left="360"/>
      </w:pPr>
      <w:r>
        <w:t>Checklist de SUNAFIL completado</w:t>
      </w:r>
    </w:p>
    <w:p>
      <w:pPr>
        <w:pStyle w:val="ListBullet"/>
        <w:ind w:left="360"/>
      </w:pPr>
      <w:r>
        <w:t>Plan de correcciones priorizado</w:t>
      </w:r>
    </w:p>
    <w:p>
      <w:pPr>
        <w:pStyle w:val="ListBullet"/>
        <w:ind w:left="360"/>
      </w:pPr>
      <w:r>
        <w:t>Capacitación a RRHH sobre cambios</w:t>
      </w:r>
    </w:p>
    <w:p>
      <w:pPr>
        <w:pStyle w:val="Heading2"/>
      </w:pPr>
      <w:r>
        <w:rPr>
          <w:color w:val="6B3557"/>
        </w:rPr>
        <w:t>Modalidad de trabajo y Precio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4F8"/>
          </w:tcPr>
          <w:p>
            <w:r>
              <w:t>Modalidad</w:t>
            </w:r>
          </w:p>
        </w:tc>
        <w:tc>
          <w:tcPr>
            <w:tcW w:type="dxa" w:w="5040"/>
            <w:shd w:fill="E8F4F8"/>
          </w:tcPr>
          <w:p>
            <w:r>
              <w:t>Descripción</w:t>
            </w:r>
          </w:p>
        </w:tc>
      </w:tr>
      <w:tr>
        <w:tc>
          <w:tcPr>
            <w:tcW w:type="dxa" w:w="5040"/>
          </w:tcPr>
          <w:p>
            <w:r>
              <w:t>Proyecto (por servicio específico)</w:t>
            </w:r>
          </w:p>
        </w:tc>
        <w:tc>
          <w:tcPr>
            <w:tcW w:type="dxa" w:w="5040"/>
          </w:tcPr>
          <w:p>
            <w:r>
              <w:t>Precio referencial: S/ 600-1,300 (auditoría); S/ 700-1,400 (Reglamento) - Arequipa base</w:t>
            </w:r>
          </w:p>
        </w:tc>
      </w:tr>
      <w:tr>
        <w:tc>
          <w:tcPr>
            <w:tcW w:type="dxa" w:w="5040"/>
          </w:tcPr>
          <w:p>
            <w:r>
              <w:t>Timeline</w:t>
            </w:r>
          </w:p>
        </w:tc>
        <w:tc>
          <w:tcPr>
            <w:tcW w:type="dxa" w:w="5040"/>
          </w:tcPr>
          <w:p>
            <w:r>
              <w:t>1-2 semanas (Reglamento); 2-3 semanas (Diagnóstico completo)</w:t>
            </w:r>
          </w:p>
        </w:tc>
      </w:tr>
    </w:tbl>
    <w:p/>
    <w:p>
      <w:pPr>
        <w:spacing w:after="240"/>
      </w:pPr>
      <w:r>
        <w:rPr>
          <w:b/>
        </w:rPr>
        <w:t xml:space="preserve">Perfil ideal del cliente: </w:t>
      </w:r>
      <w:r>
        <w:t>Empresas en proceso de formalización, en riesgo de auditoría, o que necesitan actualizar su documentación legal.</w:t>
      </w:r>
    </w:p>
    <w:p>
      <w:pPr>
        <w:pStyle w:val="Heading2"/>
      </w:pPr>
      <w:r>
        <w:rPr>
          <w:color w:val="6B3557"/>
        </w:rPr>
        <w:t>Por qué elegirnos para esto</w:t>
      </w:r>
    </w:p>
    <w:p>
      <w:pPr>
        <w:pStyle w:val="ListBullet"/>
        <w:ind w:left="360"/>
      </w:pPr>
      <w:r>
        <w:t>Conocimiento detallado de normativa peruana</w:t>
      </w:r>
    </w:p>
    <w:p>
      <w:pPr>
        <w:pStyle w:val="ListBullet"/>
        <w:ind w:left="360"/>
      </w:pPr>
      <w:r>
        <w:t>Reglamento diseñado para tu industria específica</w:t>
      </w:r>
    </w:p>
    <w:p>
      <w:pPr>
        <w:pStyle w:val="ListBullet"/>
        <w:ind w:left="360"/>
      </w:pPr>
      <w:r>
        <w:t>Previene multas y demandas laborales</w:t>
      </w:r>
    </w:p>
    <w:p>
      <w:pPr>
        <w:spacing w:before="240"/>
      </w:pPr>
      <w:r>
        <w:rPr>
          <w:b/>
        </w:rPr>
        <w:t xml:space="preserve">Próximo paso: </w:t>
      </w:r>
      <w:r>
        <w:t>Solicita una reunión de diagnóstico (sin costo) para conocer tu situación específica y definir la propuesta exacta.</w:t>
      </w:r>
    </w:p>
    <w:p>
      <w:r>
        <w:br w:type="page"/>
      </w:r>
    </w:p>
    <w:p>
      <w:pPr>
        <w:pStyle w:val="Heading1"/>
        <w:spacing w:after="120"/>
      </w:pPr>
      <w:r>
        <w:rPr>
          <w:color w:val="6B7A3E"/>
        </w:rPr>
        <w:t>U7: Programa de Liderazgo Público</w:t>
      </w:r>
    </w:p>
    <w:p>
      <w:pPr>
        <w:spacing w:after="240"/>
      </w:pPr>
      <w:r>
        <w:rPr>
          <w:i/>
          <w:sz w:val="22"/>
        </w:rPr>
        <w:t>Capacitamos a gobiernos locales en liderazgo, gestión municipal y gobernanza. Incluye componente vivencial y herramientas digitales.</w:t>
      </w:r>
    </w:p>
    <w:p>
      <w:pPr>
        <w:pStyle w:val="Heading2"/>
      </w:pPr>
      <w:r>
        <w:rPr>
          <w:color w:val="6B7A3E"/>
        </w:rPr>
        <w:t>¿Qué incluye?</w:t>
      </w:r>
    </w:p>
    <w:p>
      <w:pPr>
        <w:pStyle w:val="ListBullet"/>
        <w:ind w:left="360"/>
      </w:pPr>
      <w:r>
        <w:t>Diagnóstico de madurez de la gestión municipal</w:t>
      </w:r>
    </w:p>
    <w:p>
      <w:pPr>
        <w:pStyle w:val="ListBullet"/>
        <w:ind w:left="360"/>
      </w:pPr>
      <w:r>
        <w:t>Taller de liderazgo para alcaldes/regidores</w:t>
      </w:r>
    </w:p>
    <w:p>
      <w:pPr>
        <w:pStyle w:val="ListBullet"/>
        <w:ind w:left="360"/>
      </w:pPr>
      <w:r>
        <w:t>Herramientas digitales para gobiernos locales</w:t>
      </w:r>
    </w:p>
    <w:p>
      <w:pPr>
        <w:pStyle w:val="ListBullet"/>
        <w:ind w:left="360"/>
      </w:pPr>
      <w:r>
        <w:t>Ética pública y gobernanza local</w:t>
      </w:r>
    </w:p>
    <w:p>
      <w:pPr>
        <w:pStyle w:val="ListBullet"/>
        <w:ind w:left="360"/>
      </w:pPr>
      <w:r>
        <w:t>Componente vivencial/retiro de trabajo</w:t>
      </w:r>
    </w:p>
    <w:p>
      <w:pPr>
        <w:pStyle w:val="ListBullet"/>
        <w:ind w:left="360"/>
      </w:pPr>
      <w:r>
        <w:t>Comunidades de práctica (si aplica)</w:t>
      </w:r>
    </w:p>
    <w:p>
      <w:pPr>
        <w:pStyle w:val="ListBullet"/>
        <w:ind w:left="360"/>
      </w:pPr>
      <w:r>
        <w:t>Seguimiento post-programa</w:t>
      </w:r>
    </w:p>
    <w:p>
      <w:pPr>
        <w:pStyle w:val="Heading2"/>
      </w:pPr>
      <w:r>
        <w:rPr>
          <w:color w:val="6B7A3E"/>
        </w:rPr>
        <w:t>Entregables típicos</w:t>
      </w:r>
    </w:p>
    <w:p>
      <w:pPr>
        <w:pStyle w:val="ListBullet"/>
        <w:ind w:left="360"/>
      </w:pPr>
      <w:r>
        <w:t>Diagnóstico de situación actual</w:t>
      </w:r>
    </w:p>
    <w:p>
      <w:pPr>
        <w:pStyle w:val="ListBullet"/>
        <w:ind w:left="360"/>
      </w:pPr>
      <w:r>
        <w:t>Guía de buenas prácticas municipales</w:t>
      </w:r>
    </w:p>
    <w:p>
      <w:pPr>
        <w:pStyle w:val="ListBullet"/>
        <w:ind w:left="360"/>
      </w:pPr>
      <w:r>
        <w:t>Herramientas digitales entrenadas</w:t>
      </w:r>
    </w:p>
    <w:p>
      <w:pPr>
        <w:pStyle w:val="ListBullet"/>
        <w:ind w:left="360"/>
      </w:pPr>
      <w:r>
        <w:t>Plan local de trabajo post-programa</w:t>
      </w:r>
    </w:p>
    <w:p>
      <w:pPr>
        <w:pStyle w:val="ListBullet"/>
        <w:ind w:left="360"/>
      </w:pPr>
      <w:r>
        <w:t>Certificado de participación</w:t>
      </w:r>
    </w:p>
    <w:p>
      <w:pPr>
        <w:pStyle w:val="ListBullet"/>
        <w:ind w:left="360"/>
      </w:pPr>
      <w:r>
        <w:t>Acceso a comunidad de alcaldes/regidores</w:t>
      </w:r>
    </w:p>
    <w:p>
      <w:pPr>
        <w:pStyle w:val="Heading2"/>
      </w:pPr>
      <w:r>
        <w:rPr>
          <w:color w:val="6B7A3E"/>
        </w:rPr>
        <w:t>Modalidad de trabajo y Precio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4F8"/>
          </w:tcPr>
          <w:p>
            <w:r>
              <w:t>Modalidad</w:t>
            </w:r>
          </w:p>
        </w:tc>
        <w:tc>
          <w:tcPr>
            <w:tcW w:type="dxa" w:w="5040"/>
            <w:shd w:fill="E8F4F8"/>
          </w:tcPr>
          <w:p>
            <w:r>
              <w:t>Descripción</w:t>
            </w:r>
          </w:p>
        </w:tc>
      </w:tr>
      <w:tr>
        <w:tc>
          <w:tcPr>
            <w:tcW w:type="dxa" w:w="5040"/>
          </w:tcPr>
          <w:p>
            <w:r>
              <w:t>Proyecto (per programa o cohorte)</w:t>
            </w:r>
          </w:p>
        </w:tc>
        <w:tc>
          <w:tcPr>
            <w:tcW w:type="dxa" w:w="5040"/>
          </w:tcPr>
          <w:p>
            <w:r>
              <w:t>Precio referencial: Cotización variable según alcance (típicamente S/ 3,000-8,000+ por municipalidad)</w:t>
            </w:r>
          </w:p>
        </w:tc>
      </w:tr>
      <w:tr>
        <w:tc>
          <w:tcPr>
            <w:tcW w:type="dxa" w:w="5040"/>
          </w:tcPr>
          <w:p>
            <w:r>
              <w:t>Timeline</w:t>
            </w:r>
          </w:p>
        </w:tc>
        <w:tc>
          <w:tcPr>
            <w:tcW w:type="dxa" w:w="5040"/>
          </w:tcPr>
          <w:p>
            <w:r>
              <w:t>2-3 meses (diagnóstico + capacitación + seguimiento)</w:t>
            </w:r>
          </w:p>
        </w:tc>
      </w:tr>
    </w:tbl>
    <w:p/>
    <w:p>
      <w:pPr>
        <w:spacing w:after="240"/>
      </w:pPr>
      <w:r>
        <w:rPr>
          <w:b/>
        </w:rPr>
        <w:t xml:space="preserve">Perfil ideal del cliente: </w:t>
      </w:r>
      <w:r>
        <w:t>Municipalidades, gobiernos regionales, y organizaciones de la sociedad civil enfocadas en gobernanza local.</w:t>
      </w:r>
    </w:p>
    <w:p>
      <w:pPr>
        <w:pStyle w:val="Heading2"/>
      </w:pPr>
      <w:r>
        <w:rPr>
          <w:color w:val="6B7A3E"/>
        </w:rPr>
        <w:t>Por qué elegirnos para esto</w:t>
      </w:r>
    </w:p>
    <w:p>
      <w:pPr>
        <w:pStyle w:val="ListBullet"/>
        <w:ind w:left="360"/>
      </w:pPr>
      <w:r>
        <w:t>Única en Arequipa con especialidad en gobiernos locales</w:t>
      </w:r>
    </w:p>
    <w:p>
      <w:pPr>
        <w:pStyle w:val="ListBullet"/>
        <w:ind w:left="360"/>
      </w:pPr>
      <w:r>
        <w:t>Componente vivencial refuerza compromisos de acción</w:t>
      </w:r>
    </w:p>
    <w:p>
      <w:pPr>
        <w:pStyle w:val="ListBullet"/>
        <w:ind w:left="360"/>
      </w:pPr>
      <w:r>
        <w:t>Red de municipalidades para aprendizaje entre pares</w:t>
      </w:r>
    </w:p>
    <w:p>
      <w:pPr>
        <w:spacing w:before="240"/>
      </w:pPr>
      <w:r>
        <w:rPr>
          <w:b/>
        </w:rPr>
        <w:t xml:space="preserve">Próximo paso: </w:t>
      </w:r>
      <w:r>
        <w:t>Solicita una reunión de diagnóstico (sin costo) para conocer tu situación específica y definir la propuesta exacta.</w:t>
      </w:r>
    </w:p>
    <w:p>
      <w:r>
        <w:br w:type="page"/>
      </w:r>
    </w:p>
    <w:p>
      <w:pPr>
        <w:pStyle w:val="Heading1"/>
      </w:pPr>
      <w:r>
        <w:t>¿Cómo empezamos?</w:t>
      </w:r>
    </w:p>
    <w:p>
      <w:r>
        <w:rPr>
          <w:b/>
          <w:color w:val="1B2A4A"/>
        </w:rPr>
        <w:t>1. Reunión exploratoria (sin costo)</w:t>
      </w:r>
    </w:p>
    <w:p>
      <w:pPr>
        <w:pStyle w:val="ListBullet"/>
        <w:ind w:left="720"/>
      </w:pPr>
      <w:r>
        <w:t>Conversamos sobre tu situación, necesidades y objetivos específicos.</w:t>
      </w:r>
    </w:p>
    <w:p>
      <w:r>
        <w:rPr>
          <w:b/>
          <w:color w:val="1B2A4A"/>
        </w:rPr>
        <w:t>2. Propuesta personalizada</w:t>
      </w:r>
    </w:p>
    <w:p>
      <w:pPr>
        <w:pStyle w:val="ListBullet"/>
        <w:ind w:left="720"/>
      </w:pPr>
      <w:r>
        <w:t>Te enviamos una propuesta detallada con alcance, precio referencial y timeline.</w:t>
      </w:r>
    </w:p>
    <w:p>
      <w:r>
        <w:rPr>
          <w:b/>
          <w:color w:val="1B2A4A"/>
        </w:rPr>
        <w:t>3. Firma de contrato</w:t>
      </w:r>
    </w:p>
    <w:p>
      <w:pPr>
        <w:pStyle w:val="ListBullet"/>
        <w:ind w:left="720"/>
      </w:pPr>
      <w:r>
        <w:t>Si avanzamos, firmamos el Contrato de Prestación de Servicios.</w:t>
      </w:r>
    </w:p>
    <w:p>
      <w:r>
        <w:rPr>
          <w:b/>
          <w:color w:val="1B2A4A"/>
        </w:rPr>
        <w:t>4. Ejecución</w:t>
      </w:r>
    </w:p>
    <w:p>
      <w:pPr>
        <w:pStyle w:val="ListBullet"/>
        <w:ind w:left="720"/>
      </w:pPr>
      <w:r>
        <w:t>Comienza el trabajo con la metodología probada de E&amp;T.</w:t>
      </w:r>
    </w:p>
    <w:p>
      <w:r>
        <w:rPr>
          <w:b/>
          <w:color w:val="1B2A4A"/>
        </w:rPr>
        <w:t>5. Entregables y seguimiento</w:t>
      </w:r>
    </w:p>
    <w:p>
      <w:pPr>
        <w:pStyle w:val="ListBullet"/>
        <w:ind w:left="720"/>
      </w:pPr>
      <w:r>
        <w:t>Recibís todos los entregables, más 30 días de seguimiento incluido.</w:t>
      </w:r>
    </w:p>
    <w:p/>
    <w:p>
      <w:pPr>
        <w:jc w:val="center"/>
      </w:pPr>
      <w:r>
        <w:rPr>
          <w:b/>
        </w:rPr>
        <w:t>E&amp;T — Estrategia y Talento</w:t>
      </w:r>
    </w:p>
    <w:p>
      <w:pPr>
        <w:jc w:val="center"/>
      </w:pPr>
      <w:r>
        <w:rPr>
          <w:sz w:val="20"/>
        </w:rPr>
        <w:t>📱 +51 974 770 954 | 📧 danielfrancoespinozacuadra@gmail.com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