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0"/>
        </w:rPr>
        <w:t>RaPS instructor beta feedback</w:t>
      </w:r>
    </w:p>
    <w:p>
      <w:r>
        <w:rPr>
          <w:rFonts w:ascii="Arial" w:hAnsi="Arial"/>
          <w:sz w:val="20"/>
        </w:rPr>
        <w:t>One finding per form. TEST data only. Return to your nominated site PM.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Report ID / tester alias; local time and zone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TEST site and role; mission / synthetic case ID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Device / OS / browser / PWA; app version; network state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Impact: blocked / workaround / friction / what works / idea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Exact steps to reproduce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Expected result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Actual result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Local/cloud state, evidence retained or missing, recovery tried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Repeatability; independent / helped / blocked / not run</w:t>
            </w:r>
          </w:p>
          <w:p>
            <w:r>
              <w:t xml:space="preserve"> 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Suggested change; one thing to keep; sanitized screenshot reference</w:t>
            </w:r>
          </w:p>
          <w:p>
            <w:r>
              <w:t xml:space="preserve"> </w:t>
            </w:r>
          </w:p>
        </w:tc>
      </w:tr>
    </w:tbl>
    <w:p>
      <w:r>
        <w:rPr>
          <w:rFonts w:ascii="Arial" w:hAnsi="Arial"/>
          <w:sz w:val="20"/>
        </w:rPr>
        <w:t>Exclude passwords, tokens, recovery links and real learner information. Keep unsynced device state for support.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