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D63031"/>
          <w:sz w:val="36"/>
        </w:rPr>
        <w:t>M5</w:t>
      </w:r>
    </w:p>
    <w:p>
      <w:pPr>
        <w:pStyle w:val="Title"/>
        <w:jc w:val="center"/>
      </w:pPr>
      <w:r>
        <w:t>Manual de usuario</w:t>
        <w:br/>
        <w:t>Rentas, Deudas y Tributos</w:t>
      </w:r>
    </w:p>
    <w:p>
      <w:pPr>
        <w:jc w:val="center"/>
      </w:pPr>
      <w:r>
        <w:rPr>
          <w:color w:val="536273"/>
          <w:sz w:val="26"/>
        </w:rPr>
        <w:t>Guía práctica para Contribuyente, Caja, Personal de Rentas, Supervisor y Auditor</w:t>
      </w:r>
    </w:p>
    <w:p>
      <w:pPr>
        <w:spacing w:before="900"/>
        <w:jc w:val="center"/>
      </w:pPr>
      <w:r>
        <w:rPr>
          <w:sz w:val="20"/>
        </w:rPr>
        <w:t>Versión local de evaluación · 27 de octubre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Antes de empezar</w:t>
              <w:br/>
            </w:r>
            <w:r>
              <w:t>Este manual describe la interfaz M5 comprobada en un entorno local de pruebas. Las capturas muestran datos sintéticos. No incluye cuentas ni contraseñas.</w:t>
            </w:r>
          </w:p>
        </w:tc>
      </w:tr>
    </w:tbl>
    <w:p>
      <w:pPr>
        <w:spacing w:after="40"/>
      </w:pPr>
    </w:p>
    <w:p>
      <w:pPr>
        <w:pStyle w:val="Title"/>
      </w:pPr>
      <w:r>
        <w:t>Contenido</w:t>
      </w:r>
    </w:p>
    <w:p>
      <w:pPr>
        <w:pStyle w:val="ListBullet"/>
        <w:spacing w:after="40"/>
      </w:pPr>
      <w:r>
        <w:t>1. Objetivo, acceso y navegación</w:t>
      </w:r>
    </w:p>
    <w:p>
      <w:pPr>
        <w:pStyle w:val="ListBullet"/>
        <w:spacing w:after="40"/>
      </w:pPr>
      <w:r>
        <w:t>2. Roles y permisos</w:t>
      </w:r>
    </w:p>
    <w:p>
      <w:pPr>
        <w:pStyle w:val="ListBullet"/>
        <w:spacing w:after="40"/>
      </w:pPr>
      <w:r>
        <w:t>3. Contribuyente: consultar y pagar</w:t>
      </w:r>
    </w:p>
    <w:p>
      <w:pPr>
        <w:pStyle w:val="ListBullet"/>
        <w:spacing w:after="40"/>
      </w:pPr>
      <w:r>
        <w:t>4. Cajero: cobrar deudas y cuotas</w:t>
      </w:r>
    </w:p>
    <w:p>
      <w:pPr>
        <w:pStyle w:val="ListBullet"/>
        <w:spacing w:after="40"/>
      </w:pPr>
      <w:r>
        <w:t>5. Personal de Rentas: operación diaria</w:t>
      </w:r>
    </w:p>
    <w:p>
      <w:pPr>
        <w:pStyle w:val="ListBullet"/>
        <w:spacing w:after="40"/>
      </w:pPr>
      <w:r>
        <w:t>6. Supervisor: revisar y resolver solicitudes</w:t>
      </w:r>
    </w:p>
    <w:p>
      <w:pPr>
        <w:pStyle w:val="ListBullet"/>
        <w:spacing w:after="40"/>
      </w:pPr>
      <w:r>
        <w:t>7. Auditor: consultar trazabilidad</w:t>
      </w:r>
    </w:p>
    <w:p>
      <w:pPr>
        <w:pStyle w:val="ListBullet"/>
        <w:spacing w:after="40"/>
      </w:pPr>
      <w:r>
        <w:t>8. Estados, errores frecuentes y preguntas</w:t>
      </w:r>
    </w:p>
    <w:p>
      <w:pPr>
        <w:pStyle w:val="ListBullet"/>
        <w:spacing w:after="40"/>
      </w:pPr>
      <w:r>
        <w:t>9. Alcance validado y dependencias externas</w:t>
      </w:r>
    </w:p>
    <w:p>
      <w:pPr>
        <w:pStyle w:val="Heading1"/>
      </w:pPr>
      <w:r>
        <w:t>Objetivo del sistema</w:t>
      </w:r>
    </w:p>
    <w:p>
      <w:r>
        <w:t>M5 administra obligaciones tributarias municipales: consulta de deudas, liquidaciones, boletas, pagos, planes de pago, solicitudes de exención, ajustes y trazabilidad. La disponibilidad de cada acción depende del rol y del estado de la operación.</w:t>
      </w:r>
    </w:p>
    <w:p>
      <w:pPr>
        <w:pStyle w:val="Heading2"/>
      </w:pPr>
      <w:r>
        <w:t>Requisitos de acceso</w:t>
      </w:r>
    </w:p>
    <w:p>
      <w:pPr>
        <w:pStyle w:val="ListBullet"/>
        <w:spacing w:after="40"/>
      </w:pPr>
      <w:r>
        <w:t>Usá la dirección y la cuenta que te haya indicado el equipo responsable del ambiente.</w:t>
      </w:r>
    </w:p>
    <w:p>
      <w:pPr>
        <w:pStyle w:val="ListBullet"/>
        <w:spacing w:after="40"/>
      </w:pPr>
      <w:r>
        <w:t>Ingresá con una cuenta individual; no compartas contraseñas ni sesiones.</w:t>
      </w:r>
    </w:p>
    <w:p>
      <w:pPr>
        <w:pStyle w:val="ListBullet"/>
        <w:spacing w:after="40"/>
      </w:pPr>
      <w:r>
        <w:t>El portal DEMO es sólo para desarrollo local. No uses sus credenciales en ambientes compartidos o productivos.</w:t>
      </w:r>
    </w:p>
    <w:p>
      <w:pPr>
        <w:pStyle w:val="ListBullet"/>
        <w:spacing w:after="40"/>
      </w:pPr>
      <w:r>
        <w:t>Para Caja y Personal de Rentas, el equipo asigna el acceso y los permisos necesarios.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Entorno de esta guía</w:t>
              <w:br/>
            </w:r>
            <w:r>
              <w:t>El pago electrónico mostrado está simulado. La prueba no procesa tarjetas ni mueve dinero real. La prueba E2E usó PostgreSQL y RabbitMQ efímeros con contribuyentes sintéticos.</w:t>
            </w:r>
          </w:p>
        </w:tc>
      </w:tr>
    </w:tbl>
    <w:p>
      <w:pPr>
        <w:spacing w:after="40"/>
      </w:pPr>
    </w:p>
    <w:p>
      <w:pPr>
        <w:pStyle w:val="Heading2"/>
      </w:pPr>
      <w:r>
        <w:t>Navegación principal</w:t>
      </w:r>
    </w:p>
    <w:p>
      <w:r>
        <w:t>El menú lateral reúne los módulos habilitados para tu rol. La barra superior identifica el portal y la sesión. Usá el breadcrumb para reconocer la ubicación actual. Auditor tiene acceso de consulta y no modifica entidades.</w:t>
      </w:r>
    </w:p>
    <w:p>
      <w:pPr>
        <w:pStyle w:val="Title"/>
      </w:pPr>
      <w:r>
        <w:t>Roles y responsabilidades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2C59"/>
          </w:tcPr>
          <w:p>
            <w:r>
              <w:t>Rol</w:t>
            </w:r>
          </w:p>
        </w:tc>
        <w:tc>
          <w:tcPr>
            <w:tcW w:type="dxa" w:w="3360"/>
            <w:shd w:fill="0F2C59"/>
          </w:tcPr>
          <w:p>
            <w:r>
              <w:t>Puede hacer</w:t>
            </w:r>
          </w:p>
        </w:tc>
        <w:tc>
          <w:tcPr>
            <w:tcW w:type="dxa" w:w="3360"/>
            <w:shd w:fill="0F2C59"/>
          </w:tcPr>
          <w:p>
            <w:r>
              <w:t>Límite principal</w:t>
            </w:r>
          </w:p>
        </w:tc>
      </w:tr>
      <w:tr>
        <w:tc>
          <w:tcPr>
            <w:tcW w:type="dxa" w:w="3360"/>
          </w:tcPr>
          <w:p>
            <w:r>
              <w:t>Contribuyente</w:t>
            </w:r>
          </w:p>
        </w:tc>
        <w:tc>
          <w:tcPr>
            <w:tcW w:type="dxa" w:w="3360"/>
          </w:tcPr>
          <w:p>
            <w:r>
              <w:t>Consultar sus deudas, boletas, pagos, cuotas y solicitudes; iniciar operaciones habilitadas.</w:t>
            </w:r>
          </w:p>
        </w:tc>
        <w:tc>
          <w:tcPr>
            <w:tcW w:type="dxa" w:w="3360"/>
          </w:tcPr>
          <w:p>
            <w:r>
              <w:t>Sólo accede a información propia.</w:t>
            </w:r>
          </w:p>
        </w:tc>
      </w:tr>
      <w:tr>
        <w:tc>
          <w:tcPr>
            <w:tcW w:type="dxa" w:w="3360"/>
          </w:tcPr>
          <w:p>
            <w:r>
              <w:t>Cajero</w:t>
            </w:r>
          </w:p>
        </w:tc>
        <w:tc>
          <w:tcPr>
            <w:tcW w:type="dxa" w:w="3360"/>
          </w:tcPr>
          <w:p>
            <w:r>
              <w:t>Buscar contribuyentes, cobrar deudas o cuotas y consultar comprobantes.</w:t>
            </w:r>
          </w:p>
        </w:tc>
        <w:tc>
          <w:tcPr>
            <w:tcW w:type="dxa" w:w="3360"/>
          </w:tcPr>
          <w:p>
            <w:r>
              <w:t>No decide excepciones ni modifica solicitudes.</w:t>
            </w:r>
          </w:p>
        </w:tc>
      </w:tr>
      <w:tr>
        <w:tc>
          <w:tcPr>
            <w:tcW w:type="dxa" w:w="3360"/>
          </w:tcPr>
          <w:p>
            <w:r>
              <w:t>Personal de Rentas</w:t>
            </w:r>
          </w:p>
        </w:tc>
        <w:tc>
          <w:tcPr>
            <w:tcW w:type="dxa" w:w="3360"/>
          </w:tcPr>
          <w:p>
            <w:r>
              <w:t>Gestionar liquidaciones, deudas, pagos, planes, tickets y solicitudes según permisos.</w:t>
            </w:r>
          </w:p>
        </w:tc>
        <w:tc>
          <w:tcPr>
            <w:tcW w:type="dxa" w:w="3360"/>
          </w:tcPr>
          <w:p>
            <w:r>
              <w:t>Las decisiones reservadas requieren Supervisor.</w:t>
            </w:r>
          </w:p>
        </w:tc>
      </w:tr>
      <w:tr>
        <w:tc>
          <w:tcPr>
            <w:tcW w:type="dxa" w:w="3360"/>
          </w:tcPr>
          <w:p>
            <w:r>
              <w:t>Supervisor</w:t>
            </w:r>
          </w:p>
        </w:tc>
        <w:tc>
          <w:tcPr>
            <w:tcW w:type="dxa" w:w="3360"/>
          </w:tcPr>
          <w:p>
            <w:r>
              <w:t>Revisar bandejas de aprobación y resolver operaciones que requieren supervisión.</w:t>
            </w:r>
          </w:p>
        </w:tc>
        <w:tc>
          <w:tcPr>
            <w:tcW w:type="dxa" w:w="3360"/>
          </w:tcPr>
          <w:p>
            <w:r>
              <w:t>La aprobación de una solicitud de reversión no revierte por sí sola el pago.</w:t>
            </w:r>
          </w:p>
        </w:tc>
      </w:tr>
      <w:tr>
        <w:tc>
          <w:tcPr>
            <w:tcW w:type="dxa" w:w="3360"/>
          </w:tcPr>
          <w:p>
            <w:r>
              <w:t>Auditor</w:t>
            </w:r>
          </w:p>
        </w:tc>
        <w:tc>
          <w:tcPr>
            <w:tcW w:type="dxa" w:w="3360"/>
          </w:tcPr>
          <w:p>
            <w:r>
              <w:t>Consultar operaciones y trazabilidad.</w:t>
            </w:r>
          </w:p>
        </w:tc>
        <w:tc>
          <w:tcPr>
            <w:tcW w:type="dxa" w:w="3360"/>
          </w:tcPr>
          <w:p>
            <w:r>
              <w:t>Acceso de sólo lectura.</w:t>
            </w:r>
          </w:p>
        </w:tc>
      </w:tr>
    </w:tbl>
    <w:p>
      <w:pPr>
        <w:pStyle w:val="Heading1"/>
      </w:pPr>
      <w:r>
        <w:t>Inicio de sesión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Abrí el portal indicado por el equipo y elegí el acceso correspondiente a tu rol.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Ingresá tu usuario y contraseña institucionales o DEMO, según el ambiente.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Si la autenticación falla repetidamente, esperá el tiempo indicado por el sistema o contactá al administrador. No intentes reutilizar la sesión de otra persona.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Al ingresar, confirmá que el nombre y el rol mostrados en la barra superior sean los tuyos.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Privacidad</w:t>
              <w:br/>
            </w:r>
            <w:r>
              <w:t>No envíes capturas que incluyan información personal real, credenciales, tokens o datos de sesión. El Auditor puede ver trazabilidad funcional, pero su portal es de consulta.</w:t>
            </w:r>
          </w:p>
        </w:tc>
      </w:tr>
    </w:tbl>
    <w:p>
      <w:pPr>
        <w:spacing w:after="40"/>
      </w:pPr>
    </w:p>
    <w:p>
      <w:pPr>
        <w:pStyle w:val="Title"/>
      </w:pPr>
      <w:r>
        <w:t>Contribuyente: consultar y pagar</w:t>
      </w:r>
    </w:p>
    <w:p>
      <w:r>
        <w:t>El portal permite revisar obligaciones propias y seguir el estado de cada operación. Las obligaciones originadas en otros sistemas aparecen con una descripción funcional; la confirmación externa puede tardar o depender de una integración.</w:t>
      </w:r>
    </w:p>
    <w:p>
      <w:pPr>
        <w:pStyle w:val="Heading2"/>
      </w:pPr>
      <w:r>
        <w:t>Consultar una deuda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Entrá en “Mis deudas”.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Revisá concepto, vencimiento, importe original, saldo y estado.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Si la deuda permite pago electrónico, elegí “Pago electrónico”, seleccioná la obligación y revisá el importe antes de confirmar.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Volvé a “Mis deudas” o actualizá la pantalla para consultar el saldo vigente.</w:t>
      </w:r>
    </w:p>
    <w:p>
      <w:pPr>
        <w:pStyle w:val="Heading2"/>
      </w:pPr>
      <w:r>
        <w:t>Verificar el pago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Abrí “Mis pagos” y seleccioná el comprobante.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Revisá importe, fecha, estado y destino de la imputación.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Confirmá en “Mis deudas” que el saldo se haya actualizado. Si el cambio no aparece, actualizá la vista y consultá el estado del pago.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Pago de prueba</w:t>
              <w:br/>
            </w:r>
            <w:r>
              <w:t>En esta versión local, el portal informa que el pago electrónico es simulado. Esa pantalla no equivale a un cobro bancario real.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a-deuda-in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Pantalla del contribuyente antes del pago. Identidad, deuda y montos de ejemplo son sintéticos.</w:t>
      </w:r>
    </w:p>
    <w:p>
      <w:pPr>
        <w:pStyle w:val="Heading1"/>
      </w:pPr>
      <w:r>
        <w:t>Solicitar un plan de pago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Desde “Mis deudas”, elegí las obligaciones elegibles y seleccioná “Pedir plan de pago”.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Revisá la simulación, cantidad de cuotas, anticipo e importe estimado.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Enviá la solicitud. Su estado queda pendiente de revisión.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Cuando el área responsable resuelva la solicitud, consultá “Planes de pago” para ver cuotas, vencimientos y saldo.</w:t>
      </w:r>
    </w:p>
    <w:p>
      <w:pPr>
        <w:pStyle w:val="Heading1"/>
      </w:pPr>
      <w:r>
        <w:t>Consultar beneficios o exenciones</w:t>
      </w:r>
    </w:p>
    <w:p>
      <w:pPr>
        <w:pStyle w:val="ListBullet"/>
        <w:spacing w:after="40"/>
      </w:pPr>
      <w:r>
        <w:t>En “Beneficios tributarios” consultá los conceptos alcanzados, vigencia y porcentaje cuando estén disponibles.</w:t>
      </w:r>
    </w:p>
    <w:p>
      <w:pPr>
        <w:pStyle w:val="ListBullet"/>
        <w:spacing w:after="40"/>
      </w:pPr>
      <w:r>
        <w:t>En “Exenciones” revisá el estado de la solicitud y la documentación presentada.</w:t>
      </w:r>
    </w:p>
    <w:p>
      <w:pPr>
        <w:pStyle w:val="ListBullet"/>
        <w:spacing w:after="40"/>
      </w:pPr>
      <w:r>
        <w:t>Si Rentas solicita información adicional, seguí el mensaje y adjuntá sólo los documentos requeridos por el trámite.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87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rtal-a-saldo-7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8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Saldo actualizado después de un pago parcial de prueba. El saldo visible es $750 sobre una deuda inicial sintética de $1.000.</w:t>
      </w:r>
    </w:p>
    <w:p>
      <w:pPr>
        <w:pStyle w:val="Title"/>
      </w:pPr>
      <w:r>
        <w:t>Cajero: cobrar una deuda o una cuota</w:t>
      </w:r>
    </w:p>
    <w:p>
      <w:r>
        <w:t>Caja registra cobros en nombre del contribuyente y conserva el comprobante asociado. Verificá siempre a quién corresponde la operación antes de cobrar.</w:t>
      </w:r>
    </w:p>
    <w:p>
      <w:pPr>
        <w:pStyle w:val="Heading2"/>
      </w:pPr>
      <w:r>
        <w:t>Cobrar una deuda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Entrá en “Contribuyentes” y buscá por los datos habilitados.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Abrí la ficha y confirmá identidad antes de continuar.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En la sección “Deudas”, seleccioná “Cobrar” junto a la deuda.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Ingresá el importe y el medio de pago; revisá que no supere el saldo.</w:t>
      </w:r>
    </w:p>
    <w:p>
      <w:pPr>
        <w:spacing w:after="60"/>
        <w:ind w:left="346" w:hanging="346"/>
      </w:pPr>
      <w:r>
        <w:rPr>
          <w:b/>
        </w:rPr>
        <w:t xml:space="preserve">5. </w:t>
      </w:r>
      <w:r>
        <w:t>Confirmá la operación y guardá la referencia del comprobante.</w:t>
      </w:r>
    </w:p>
    <w:p>
      <w:pPr>
        <w:pStyle w:val="Heading2"/>
      </w:pPr>
      <w:r>
        <w:t>Cobrar una cuota de un plan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Buscá al contribuyente y abrí su ficha.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Revisá la sección “Cuotas de planes de pago”.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Seleccioná la cuota pendiente correcta y confirmá importe y medio de pago.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Después del cobro, verificá el estado de la cuota y el saldo del plan.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Control de consistencia</w:t>
              <w:br/>
            </w:r>
            <w:r>
              <w:t>Un pago parcial reduce el saldo pendiente por el importe imputado. Si la operación queda sin imputar, no supongas que la deuda ya cambió: revisá la imputación y el comprobante.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6376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ja-a-saldo-y-pa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37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Ficha de Caja con el pago parcial y el saldo restante en el entorno sintético.</w:t>
      </w:r>
    </w:p>
    <w:p>
      <w:pPr>
        <w:pStyle w:val="Title"/>
      </w:pPr>
      <w:r>
        <w:t>Personal de Rentas: operación diaria</w:t>
      </w:r>
    </w:p>
    <w:p>
      <w:pPr>
        <w:pStyle w:val="Heading2"/>
      </w:pPr>
      <w:r>
        <w:t>Contribuyentes y obligaciones</w:t>
      </w:r>
    </w:p>
    <w:p>
      <w:pPr>
        <w:pStyle w:val="ListBullet"/>
        <w:spacing w:after="40"/>
      </w:pPr>
      <w:r>
        <w:t>Buscá al contribuyente y consultá su ficha antes de operar.</w:t>
      </w:r>
    </w:p>
    <w:p>
      <w:pPr>
        <w:pStyle w:val="ListBullet"/>
        <w:spacing w:after="40"/>
      </w:pPr>
      <w:r>
        <w:t>En “Deudas” revisá origen, concepto, saldo y estado; los identificadores técnicos quedan para el detalle de auditoría.</w:t>
      </w:r>
    </w:p>
    <w:p>
      <w:pPr>
        <w:pStyle w:val="ListBullet"/>
        <w:spacing w:after="40"/>
      </w:pPr>
      <w:r>
        <w:t>En “Liquidaciones” consultá o generá liquidaciones según el período y la configuración vigente.</w:t>
      </w:r>
    </w:p>
    <w:p>
      <w:pPr>
        <w:pStyle w:val="ListBullet"/>
        <w:spacing w:after="40"/>
      </w:pPr>
      <w:r>
        <w:t>En “Boletas” emití o consultá documentos asociados a obligaciones.</w:t>
      </w:r>
    </w:p>
    <w:p>
      <w:pPr>
        <w:pStyle w:val="Heading2"/>
      </w:pPr>
      <w:r>
        <w:t>Pagos, planes y solicitudes</w:t>
      </w:r>
    </w:p>
    <w:p>
      <w:pPr>
        <w:pStyle w:val="ListBullet"/>
        <w:spacing w:after="40"/>
      </w:pPr>
      <w:r>
        <w:t>“Pagos” permite registrar, consultar, imputar pagos y presentar solicitudes de reversión según permisos.</w:t>
      </w:r>
    </w:p>
    <w:p>
      <w:pPr>
        <w:pStyle w:val="ListBullet"/>
        <w:spacing w:after="40"/>
      </w:pPr>
      <w:r>
        <w:t>Una solicitud de reversión no cambia por sí sola el pago: espera la decisión del Supervisor y la ejecución posterior autorizada.</w:t>
      </w:r>
    </w:p>
    <w:p>
      <w:pPr>
        <w:pStyle w:val="ListBullet"/>
        <w:spacing w:after="40"/>
      </w:pPr>
      <w:r>
        <w:t>“Planes de pago” permite consultar solicitudes y planes; las decisiones reservadas corresponden al Supervisor.</w:t>
      </w:r>
    </w:p>
    <w:p>
      <w:pPr>
        <w:pStyle w:val="ListBullet"/>
        <w:spacing w:after="40"/>
      </w:pPr>
      <w:r>
        <w:t>“Exenciones”, “Ajustes” y “Tickets” muestran el flujo de cada solicitud y la información disponible para actuar.</w:t>
      </w:r>
    </w:p>
    <w:p>
      <w:pPr>
        <w:pStyle w:val="Heading2"/>
      </w:pPr>
      <w:r>
        <w:t>Integraciones y operaciones pendientes</w:t>
      </w:r>
    </w:p>
    <w:p>
      <w:r>
        <w:t>La bitácora muestra qué quedó registrado y qué informa el sistema sobre el broker. “Enviado al broker” significa aceptación local del broker; no confirma que Core u otro módulo haya procesado el evento. Si la interfaz marca una dependencia externa como pendiente, no la presentes al contribuyente como completada.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756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ntas-a-saldo-7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Vista de Deudas de Rentas con el concepto, origen funcional y saldo actualizado.</w:t>
      </w:r>
    </w:p>
    <w:p>
      <w:pPr>
        <w:pStyle w:val="Title"/>
      </w:pPr>
      <w:r>
        <w:t>Supervisor: revisar y resolver</w:t>
      </w:r>
    </w:p>
    <w:p>
      <w:r>
        <w:t>El Panel de inicio reúne métricas y accesos a bandejas que requieren decisión. Abrí cada solicitud y revisá los antecedentes antes de aprobar o rechazar.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Entrá al Panel de inicio y revisá “Pendientes de supervisión”.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Abrí la bandeja: planes excepcionales, exenciones, ajustes, refinanciaciones, reversiones, corridas masivas o caducidades.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Revisá el detalle, los importes, el motivo y el historial disponible.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Elegí aprobar o rechazar y completá la observación o el motivo cuando el formulario lo solicite.</w:t>
      </w:r>
    </w:p>
    <w:p>
      <w:pPr>
        <w:spacing w:after="60"/>
        <w:ind w:left="346" w:hanging="346"/>
      </w:pPr>
      <w:r>
        <w:rPr>
          <w:b/>
        </w:rPr>
        <w:t xml:space="preserve">5. </w:t>
      </w:r>
      <w:r>
        <w:t>Volvé a la bandeja para comprobar el nuevo estado.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Reversión de pago</w:t>
              <w:br/>
            </w:r>
            <w:r>
              <w:t>Aprobar una solicitud habilita la ejecución posterior; no revierte automáticamente el pago. El resultado económico se verifica después de ejecutar la acción correspondiente.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5656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upervisor-por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5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Panel y bandejas del Supervisor en el entorno local sintético.</w:t>
      </w:r>
    </w:p>
    <w:p>
      <w:pPr>
        <w:pStyle w:val="Title"/>
      </w:pPr>
      <w:r>
        <w:t>Auditor: consultar trazabilidad</w:t>
      </w:r>
    </w:p>
    <w:p>
      <w:r>
        <w:t>El portal del Auditor es de sólo lectura. Permite consultar contribuyentes, conceptos, liquidaciones, deudas, pagos, planes, exenciones, tickets, integraciones e indicadores dentro de los permisos del sistema.</w:t>
      </w:r>
    </w:p>
    <w:p>
      <w:pPr>
        <w:spacing w:after="60"/>
        <w:ind w:left="346" w:hanging="346"/>
      </w:pPr>
      <w:r>
        <w:rPr>
          <w:b/>
        </w:rPr>
        <w:t xml:space="preserve">1. </w:t>
      </w:r>
      <w:r>
        <w:t>Abrí el Dashboard para ver actividad reciente y accesos de consulta.</w:t>
      </w:r>
    </w:p>
    <w:p>
      <w:pPr>
        <w:spacing w:after="60"/>
        <w:ind w:left="346" w:hanging="346"/>
      </w:pPr>
      <w:r>
        <w:rPr>
          <w:b/>
        </w:rPr>
        <w:t xml:space="preserve">2. </w:t>
      </w:r>
      <w:r>
        <w:t>Entrá al módulo que necesitás revisar y localizá la operación.</w:t>
      </w:r>
    </w:p>
    <w:p>
      <w:pPr>
        <w:spacing w:after="60"/>
        <w:ind w:left="346" w:hanging="346"/>
      </w:pPr>
      <w:r>
        <w:rPr>
          <w:b/>
        </w:rPr>
        <w:t xml:space="preserve">3. </w:t>
      </w:r>
      <w:r>
        <w:t>En integraciones, comenzá por tipo de operación, origen, fecha y resultado.</w:t>
      </w:r>
    </w:p>
    <w:p>
      <w:pPr>
        <w:spacing w:after="60"/>
        <w:ind w:left="346" w:hanging="346"/>
      </w:pPr>
      <w:r>
        <w:rPr>
          <w:b/>
        </w:rPr>
        <w:t xml:space="preserve">4. </w:t>
      </w:r>
      <w:r>
        <w:t>Abrí “Detalles técnicos” sólo cuando necesites el identificador del evento o el payload permitido para la auditoría.</w:t>
      </w:r>
    </w:p>
    <w:p>
      <w:pPr>
        <w:spacing w:after="60"/>
        <w:ind w:left="346" w:hanging="346"/>
      </w:pPr>
      <w:r>
        <w:rPr>
          <w:b/>
        </w:rPr>
        <w:t xml:space="preserve">5. </w:t>
      </w:r>
      <w:r>
        <w:t>Usá la auditoría funcional para relacionar los cambios con su responsable.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  <w:color w:val="0F2C59"/>
                <w:sz w:val="20"/>
              </w:rPr>
              <w:t>Límite del portal</w:t>
              <w:br/>
            </w:r>
            <w:r>
              <w:t>Ver un evento en la bitácora no demuestra que el consumidor externo lo haya aplicado. La recepción y la confirmación del otro módulo requieren evidencia externa.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403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or-por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40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273"/>
          <w:sz w:val="16"/>
        </w:rPr>
        <w:t>Dashboard de consulta de Auditor; en esta ejecución de prueba la actividad estaba vacía.</w:t>
      </w:r>
    </w:p>
    <w:p>
      <w:pPr>
        <w:pStyle w:val="Title"/>
      </w:pPr>
      <w:r>
        <w:t>Estados, errores frecuentes y preguntas</w:t>
      </w:r>
    </w:p>
    <w:p>
      <w:pPr>
        <w:pStyle w:val="Heading2"/>
      </w:pPr>
      <w:r>
        <w:t>Estados en lenguaje sencillo</w:t>
      </w:r>
    </w:p>
    <w:p>
      <w:pPr>
        <w:pStyle w:val="ListBullet"/>
        <w:spacing w:after="40"/>
      </w:pPr>
      <w:r>
        <w:t>Pendiente: todavía falta una acción o decisión.</w:t>
      </w:r>
    </w:p>
    <w:p>
      <w:pPr>
        <w:pStyle w:val="ListBullet"/>
        <w:spacing w:after="40"/>
      </w:pPr>
      <w:r>
        <w:t>Pago parcial: se imputó una parte y queda saldo.</w:t>
      </w:r>
    </w:p>
    <w:p>
      <w:pPr>
        <w:pStyle w:val="ListBullet"/>
        <w:spacing w:after="40"/>
      </w:pPr>
      <w:r>
        <w:t>Pagada: no queda saldo exigible para la obligación.</w:t>
      </w:r>
    </w:p>
    <w:p>
      <w:pPr>
        <w:pStyle w:val="ListBullet"/>
        <w:spacing w:after="40"/>
      </w:pPr>
      <w:r>
        <w:t>En revisión: el área responsable está evaluando la solicitud.</w:t>
      </w:r>
    </w:p>
    <w:p>
      <w:pPr>
        <w:pStyle w:val="ListBullet"/>
        <w:spacing w:after="40"/>
      </w:pPr>
      <w:r>
        <w:t>Aprobada: se autorizó la solicitud; algunas operaciones requieren una acción posterior.</w:t>
      </w:r>
    </w:p>
    <w:p>
      <w:pPr>
        <w:pStyle w:val="ListBullet"/>
        <w:spacing w:after="40"/>
      </w:pPr>
      <w:r>
        <w:t>Rechazada: la solicitud no fue autorizada; revisá el motivo que muestra el sistema.</w:t>
      </w:r>
    </w:p>
    <w:p>
      <w:pPr>
        <w:pStyle w:val="ListBullet"/>
        <w:spacing w:after="40"/>
      </w:pPr>
      <w:r>
        <w:t>Pendiente de envío: el registro local espera el mecanismo de integración.</w:t>
      </w:r>
    </w:p>
    <w:p>
      <w:pPr>
        <w:pStyle w:val="ListBullet"/>
        <w:spacing w:after="40"/>
      </w:pPr>
      <w:r>
        <w:t>Confirmado por el broker: el broker local aceptó el mensaje; no implica confirmación de Core.</w:t>
      </w:r>
    </w:p>
    <w:p>
      <w:pPr>
        <w:pStyle w:val="Heading2"/>
      </w:pPr>
      <w:r>
        <w:t>Si aparece un error</w:t>
      </w:r>
    </w:p>
    <w:p>
      <w:pPr>
        <w:pStyle w:val="ListBullet"/>
        <w:spacing w:after="40"/>
      </w:pPr>
      <w:r>
        <w:t>401 / sesión no válida: iniciá sesión de nuevo con tu cuenta.</w:t>
      </w:r>
    </w:p>
    <w:p>
      <w:pPr>
        <w:pStyle w:val="ListBullet"/>
        <w:spacing w:after="40"/>
      </w:pPr>
      <w:r>
        <w:t>403 / sin permiso: verificá el rol y que el registro corresponda a tu contribuyente.</w:t>
      </w:r>
    </w:p>
    <w:p>
      <w:pPr>
        <w:pStyle w:val="ListBullet"/>
        <w:spacing w:after="40"/>
      </w:pPr>
      <w:r>
        <w:t>404 / no encontrado: comprobá el número o actualizá la búsqueda.</w:t>
      </w:r>
    </w:p>
    <w:p>
      <w:pPr>
        <w:pStyle w:val="ListBullet"/>
        <w:spacing w:after="40"/>
      </w:pPr>
      <w:r>
        <w:t>429 / demasiados intentos DEMO: esperá el tiempo indicado antes de intentar otra vez.</w:t>
      </w:r>
    </w:p>
    <w:p>
      <w:pPr>
        <w:pStyle w:val="ListBullet"/>
        <w:spacing w:after="40"/>
      </w:pPr>
      <w:r>
        <w:t>Clave de idempotencia repetida: reintentá con la misma operación sólo cuando sea el mismo intento; no generes un pago nuevo para el mismo cobro.</w:t>
      </w:r>
    </w:p>
    <w:p>
      <w:pPr>
        <w:pStyle w:val="ListBullet"/>
        <w:spacing w:after="40"/>
      </w:pPr>
      <w:r>
        <w:t>Saldo no actualizado: actualizá la pantalla, abrí el pago y revisá el importe imputado y el estado. Si sigue sin coincidir, informá la referencia del comprobante al área responsable.</w:t>
      </w:r>
    </w:p>
    <w:p>
      <w:pPr>
        <w:pStyle w:val="ListBullet"/>
        <w:spacing w:after="40"/>
      </w:pPr>
      <w:r>
        <w:t>Integración pendiente: no repitas una operación económica para forzar el envío; contactá al equipo de soporte del módulo.</w:t>
      </w:r>
    </w:p>
    <w:p>
      <w:pPr>
        <w:pStyle w:val="Heading2"/>
      </w:pPr>
      <w:r>
        <w:t>Preguntas frecuentes</w:t>
      </w:r>
    </w:p>
    <w:p>
      <w:r>
        <w:rPr>
          <w:b/>
          <w:color w:val="0F2C59"/>
        </w:rPr>
        <w:t xml:space="preserve">¿El pago electrónico de esta demo cobra dinero? </w:t>
      </w:r>
      <w:r>
        <w:t>No. La captura y el E2E local usan el flujo simulado de prueba.</w:t>
      </w:r>
    </w:p>
    <w:p>
      <w:r>
        <w:rPr>
          <w:b/>
          <w:color w:val="0F2C59"/>
        </w:rPr>
        <w:t xml:space="preserve">¿Por qué mi solicitud no impacta todavía en otro módulo? </w:t>
      </w:r>
      <w:r>
        <w:t>El sistema puede haberla registrado localmente sin confirmación externa. Consultá el estado y la bitácora.</w:t>
      </w:r>
    </w:p>
    <w:p>
      <w:r>
        <w:rPr>
          <w:b/>
          <w:color w:val="0F2C59"/>
        </w:rPr>
        <w:t xml:space="preserve">¿El Auditor puede modificar el saldo? </w:t>
      </w:r>
      <w:r>
        <w:t>No, su portal es de sólo lectura.</w:t>
      </w:r>
    </w:p>
    <w:p>
      <w:r>
        <w:rPr>
          <w:b/>
          <w:color w:val="0F2C59"/>
        </w:rPr>
        <w:t xml:space="preserve">¿Qué hago si la deuda no es mía? </w:t>
      </w:r>
      <w:r>
        <w:t>No la operes. Reportá la incidencia al área responsable; el acceso a datos ajenos debe ser denegado.</w:t>
      </w:r>
    </w:p>
    <w:p>
      <w:pPr>
        <w:pStyle w:val="Title"/>
      </w:pPr>
      <w:r>
        <w:t>Alcance comprobado y dependencias</w:t>
      </w:r>
    </w:p>
    <w:p>
      <w:r>
        <w:t>Las pantallas de esta guía se validaron con una prueba local de datos sintéticos usando Playwright, PostgreSQL 17.11 y RabbitMQ 4.3 efímeros. El pago parcial se guardó una vez, el mismo reintento idempotente devolvió la operación existente y el saldo de $750 coincidió en Contribuyente, Caja y Rentas.</w:t>
      </w:r>
    </w:p>
    <w:p>
      <w:pPr>
        <w:pStyle w:val="ListBullet"/>
        <w:spacing w:after="40"/>
      </w:pPr>
      <w:r>
        <w:t>La aceptación de un mensaje por RabbitMQ local es `BROKER_CONFIRMED`.</w:t>
      </w:r>
    </w:p>
    <w:p>
      <w:pPr>
        <w:pStyle w:val="ListBullet"/>
        <w:spacing w:after="40"/>
      </w:pPr>
      <w:r>
        <w:t>No se verificó entrega real a Core (`CORE_DELIVERED`) ni un ACK de consumidor externo.</w:t>
      </w:r>
    </w:p>
    <w:p>
      <w:pPr>
        <w:pStyle w:val="ListBullet"/>
        <w:spacing w:after="40"/>
      </w:pPr>
      <w:r>
        <w:t>M9 comunicó cuatro entregas totales: la original y reintentos a los 5 segundos, 30 segundos y 2 minutos, con NACK sin requeue. La prueba local no verificó esa política en Core compartido. La autenticación de servicio, el TLS remoto, el routing y la aceptación externa siguen pendientes de validación conjunta.</w:t>
      </w:r>
    </w:p>
    <w:p>
      <w:pPr>
        <w:pStyle w:val="ListBullet"/>
        <w:spacing w:after="40"/>
      </w:pPr>
      <w:r>
        <w:t>La cobertura de pruebas frontend medida es 75,32% de líneas; la meta académica indicada de 85% aún no se cumple.</w:t>
      </w:r>
    </w:p>
    <w:p>
      <w:pPr>
        <w:pStyle w:val="ListBullet"/>
        <w:spacing w:after="40"/>
      </w:pPr>
      <w:r>
        <w:t>Los enlaces a trámites de otros módulos se muestran como no disponibles porque no hay destinos oficiales verificados en M5.</w:t>
      </w:r>
    </w:p>
    <w:p>
      <w:pPr>
        <w:jc w:val="center"/>
      </w:pPr>
      <w:r>
        <w:rPr>
          <w:b/>
          <w:color w:val="D63031"/>
        </w:rPr>
        <w:t>Fin del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273"/>
        <w:sz w:val="16"/>
      </w:rPr>
      <w:t xml:space="preserve">Manual de usuario M5 · versión local 27/10/2026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2C59"/>
        <w:sz w:val="16"/>
      </w:rPr>
      <w:t>CIUDAD UADE  |  RENTAS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53627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C5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630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2C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2C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