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6.png" ContentType="image/png"/>
  <Override PartName="/word/media/rId42.png" ContentType="image/png"/>
  <Override PartName="/word/media/rId3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22" w:name="X03f819fb9a071394f6a36cee4d8ddb035113553"/>
    <w:p>
      <w:pPr>
        <w:pStyle w:val="Heading1"/>
      </w:pPr>
      <w:r>
        <w:t xml:space="preserve">1 </w:t>
      </w:r>
      <w:r>
        <w:rPr>
          <w:rFonts w:hint="eastAsia"/>
        </w:rPr>
        <w:t xml:space="preserve">课题任务</w:t>
      </w:r>
    </w:p>
    <w:bookmarkStart w:id="20" w:name="Xad6d187a84b718fcf50844057e5c9faff17e44d"/>
    <w:p>
      <w:pPr>
        <w:pStyle w:val="Heading2"/>
      </w:pPr>
      <w:r>
        <w:t xml:space="preserve">1.1 </w:t>
      </w:r>
      <w:r>
        <w:rPr>
          <w:rFonts w:hint="eastAsia"/>
        </w:rPr>
        <w:t xml:space="preserve">任务内容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结合体检与既往史相关数据，构建二分类模型预测目标列“既往史-心血管”是否为“有”。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在同一套预处理与评估方案下，对以下五类模型进行训练与对比：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随机森林（RandomForest）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梯度提升树（GBDT,</w:t>
      </w:r>
      <w:r>
        <w:t xml:space="preserve"> </w:t>
      </w:r>
      <w:r>
        <w:rPr>
          <w:rFonts w:hint="eastAsia"/>
        </w:rPr>
        <w:t xml:space="preserve">GradientBoostingClassifier）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XGBoost（XGBClassifier）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AdaBoost（AdaBoostClassifier）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Stacking（以多基学习器集成为元学习器的堆叠集成）</w:t>
      </w:r>
    </w:p>
    <w:bookmarkEnd w:id="20"/>
    <w:bookmarkStart w:id="21" w:name="Xb2162b0c97e5450bc82600f6683c9c3d801306f"/>
    <w:p>
      <w:pPr>
        <w:pStyle w:val="Heading2"/>
      </w:pPr>
      <w:r>
        <w:t xml:space="preserve">1.2 </w:t>
      </w:r>
      <w:r>
        <w:rPr>
          <w:rFonts w:hint="eastAsia"/>
        </w:rPr>
        <w:t xml:space="preserve">任务要求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完成数据理解、预处理与探索性分析（EDA）。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构建规范的训练/验证流程，包含分层划分、统一的预处理Pipeline与交叉验证（CV）。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训练并评估五类模型，输出</w:t>
      </w:r>
      <w:r>
        <w:t xml:space="preserve"> Accuracy、Precision、Recall、F1、ROC-AUC </w:t>
      </w:r>
      <w:r>
        <w:rPr>
          <w:rFonts w:hint="eastAsia"/>
        </w:rPr>
        <w:t xml:space="preserve">等指标与可视化图表（ROC曲线、混淆矩阵、特征重要性等）。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输出完整的实验报告，给出方法对比与结果分析，并总结结论与改进方向。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X33aef4f177832ea476e248584fe907c9b310c8f"/>
    <w:p>
      <w:pPr>
        <w:pStyle w:val="Heading1"/>
      </w:pPr>
      <w:r>
        <w:t xml:space="preserve">2 </w:t>
      </w:r>
      <w:r>
        <w:rPr>
          <w:rFonts w:hint="eastAsia"/>
        </w:rPr>
        <w:t xml:space="preserve">数据说明与预处理</w:t>
      </w:r>
    </w:p>
    <w:bookmarkStart w:id="29" w:name="X97d02572349e43f1466375a35d16c6f8237b5c4"/>
    <w:p>
      <w:pPr>
        <w:pStyle w:val="Heading2"/>
      </w:pPr>
      <w:r>
        <w:t xml:space="preserve">2.1 </w:t>
      </w:r>
      <w:r>
        <w:rPr>
          <w:rFonts w:hint="eastAsia"/>
        </w:rPr>
        <w:t xml:space="preserve">数据说明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数据文件：</w:t>
      </w:r>
      <w:r>
        <w:rPr>
          <w:rStyle w:val="VerbatimChar"/>
          <w:rFonts w:hint="eastAsia"/>
        </w:rPr>
        <w:t xml:space="preserve">心血管既往史抽样数据.csv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总样本量：1000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目标列：</w:t>
      </w:r>
      <w:r>
        <w:rPr>
          <w:rStyle w:val="VerbatimChar"/>
          <w:rFonts w:hint="eastAsia"/>
        </w:rPr>
        <w:t xml:space="preserve">既往史-心血管</w:t>
      </w:r>
      <w:r>
        <w:rPr>
          <w:rFonts w:hint="eastAsia"/>
        </w:rPr>
        <w:t xml:space="preserve">（标签“有/无”已映射为</w:t>
      </w:r>
      <w:r>
        <w:t xml:space="preserve"> </w:t>
      </w:r>
      <w:r>
        <w:rPr>
          <w:rFonts w:hint="eastAsia"/>
        </w:rPr>
        <w:t xml:space="preserve">1/0）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用于建模的特征数：21（已剔除ID列</w:t>
      </w:r>
      <w:r>
        <w:rPr>
          <w:rStyle w:val="VerbatimChar"/>
          <w:rFonts w:hint="eastAsia"/>
        </w:rPr>
        <w:t xml:space="preserve">健康档案编号</w:t>
      </w:r>
      <w:r>
        <w:rPr>
          <w:rFonts w:hint="eastAsia"/>
        </w:rPr>
        <w:t xml:space="preserve">与自由文本列</w:t>
      </w:r>
      <w:r>
        <w:rPr>
          <w:rStyle w:val="VerbatimChar"/>
          <w:rFonts w:hint="eastAsia"/>
        </w:rPr>
        <w:t xml:space="preserve">疾病描述</w:t>
      </w:r>
      <w:r>
        <w:rPr>
          <w:rFonts w:hint="eastAsia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目标分布：</w:t>
      </w:r>
    </w:p>
    <w:p>
      <w:pPr>
        <w:pStyle w:val="SourceCode"/>
      </w:pPr>
      <w:r>
        <w:rPr>
          <w:rStyle w:val="VerbatimChar"/>
        </w:rPr>
        <w:t xml:space="preserve">0: 700</w:t>
      </w:r>
      <w:r>
        <w:br/>
      </w:r>
      <w:r>
        <w:rPr>
          <w:rStyle w:val="VerbatimChar"/>
        </w:rPr>
        <w:t xml:space="preserve">1: 300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示例图表：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目标分布（类别占比）：</w:t>
      </w:r>
      <w:r>
        <w:drawing>
          <wp:inline>
            <wp:extent cx="3694545" cy="3694545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9\figs\target_distribu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545" cy="369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数值特征相关性热力图：</w:t>
      </w:r>
      <w:r>
        <w:drawing>
          <wp:inline>
            <wp:extent cx="5334000" cy="4267200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9\figs\correlation_heatm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d44059c09a7b9ec8220691a75a401e1728949d6"/>
    <w:p>
      <w:pPr>
        <w:pStyle w:val="Heading2"/>
      </w:pPr>
      <w:r>
        <w:t xml:space="preserve">2.2 </w:t>
      </w:r>
      <w:r>
        <w:rPr>
          <w:rFonts w:hint="eastAsia"/>
        </w:rPr>
        <w:t xml:space="preserve">数据预处理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数值特征：</w:t>
      </w:r>
      <w:r>
        <w:rPr>
          <w:rStyle w:val="VerbatimChar"/>
        </w:rPr>
        <w:t xml:space="preserve">SimpleImputer(strategy='median')</w:t>
      </w:r>
      <w:r>
        <w:rPr>
          <w:rFonts w:hint="eastAsia"/>
        </w:rPr>
        <w:t xml:space="preserve">填补缺失</w:t>
      </w:r>
      <w:r>
        <w:t xml:space="preserve"> +</w:t>
      </w:r>
      <w:r>
        <w:t xml:space="preserve"> </w:t>
      </w:r>
      <w:r>
        <w:rPr>
          <w:rStyle w:val="VerbatimChar"/>
        </w:rPr>
        <w:t xml:space="preserve">StandardScaler</w:t>
      </w:r>
      <w:r>
        <w:rPr>
          <w:rFonts w:hint="eastAsia"/>
        </w:rPr>
        <w:t xml:space="preserve">标准化。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类别特征：</w:t>
      </w:r>
      <w:r>
        <w:rPr>
          <w:rStyle w:val="VerbatimChar"/>
        </w:rPr>
        <w:t xml:space="preserve">SimpleImputer(strategy='most_frequent')</w:t>
      </w:r>
      <w:r>
        <w:rPr>
          <w:rFonts w:hint="eastAsia"/>
        </w:rPr>
        <w:t xml:space="preserve">填补缺失</w:t>
      </w:r>
      <w:r>
        <w:t xml:space="preserve"> +</w:t>
      </w:r>
      <w:r>
        <w:t xml:space="preserve"> </w:t>
      </w:r>
      <w:r>
        <w:rPr>
          <w:rStyle w:val="VerbatimChar"/>
        </w:rPr>
        <w:t xml:space="preserve">OneHotEncoder(handle_unknown='ignore')</w:t>
      </w:r>
      <w:r>
        <w:rPr>
          <w:rFonts w:hint="eastAsia"/>
        </w:rPr>
        <w:t xml:space="preserve">独热编码。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预处理通过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rPr>
          <w:rFonts w:hint="eastAsia"/>
        </w:rPr>
        <w:t xml:space="preserve">统一与模型绑定，避免数据泄漏。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其他：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将字符串形式的“nan”等无效值替换为缺失。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剔除ID列与自由文本列，降低噪声与防止信息泄露。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57d91c2f934b4484eff39fbbf228bb26696af72"/>
    <w:p>
      <w:pPr>
        <w:pStyle w:val="Heading1"/>
      </w:pPr>
      <w:r>
        <w:t xml:space="preserve">3 </w:t>
      </w:r>
      <w:r>
        <w:rPr>
          <w:rFonts w:hint="eastAsia"/>
        </w:rPr>
        <w:t xml:space="preserve">探索性分析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类别分布：目标类别相对不均衡（约</w:t>
      </w:r>
      <w:r>
        <w:t xml:space="preserve"> 70% : </w:t>
      </w:r>
      <w:r>
        <w:rPr>
          <w:rFonts w:hint="eastAsia"/>
        </w:rPr>
        <w:t xml:space="preserve">30%）。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数值变量分布与异常值：参见各特征直方/箱线图（已在Notebook中逐个输出并保存，如</w:t>
      </w:r>
      <w:r>
        <w:rPr>
          <w:rStyle w:val="VerbatimChar"/>
        </w:rPr>
        <w:t xml:space="preserve">dist_*.png</w:t>
      </w:r>
      <w:r>
        <w:rPr>
          <w:rFonts w:hint="eastAsia"/>
        </w:rPr>
        <w:t xml:space="preserve">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相关性：数值特征之间存在一定线性相关性（详见相关性热力图）。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目标对比：部分数值特征随目标（0/1）呈现分布差异（参见</w:t>
      </w:r>
      <w:r>
        <w:t xml:space="preserve"> </w:t>
      </w:r>
      <w:r>
        <w:rPr>
          <w:rStyle w:val="VerbatimChar"/>
        </w:rPr>
        <w:t xml:space="preserve">target_vs_*.png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2"/>
    <w:bookmarkStart w:id="46" w:name="Xb227f815bde2a69bf476d21a6b0fb845698b288"/>
    <w:p>
      <w:pPr>
        <w:pStyle w:val="Heading1"/>
      </w:pPr>
      <w:r>
        <w:t xml:space="preserve">4 </w:t>
      </w:r>
      <w:r>
        <w:rPr>
          <w:rFonts w:hint="eastAsia"/>
        </w:rPr>
        <w:t xml:space="preserve">分析建模</w:t>
      </w:r>
    </w:p>
    <w:bookmarkStart w:id="33" w:name="X1cdd798ed7efb019054e3fb9ff91a6999c6a5de"/>
    <w:p>
      <w:pPr>
        <w:pStyle w:val="Heading2"/>
      </w:pPr>
      <w:r>
        <w:t xml:space="preserve">4.1 </w:t>
      </w:r>
      <w:r>
        <w:rPr>
          <w:rFonts w:hint="eastAsia"/>
        </w:rPr>
        <w:t xml:space="preserve">划分数据集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train_test_split(test_size=0.2, stratify=y, random_state=42)</w:t>
      </w:r>
      <w:r>
        <w:t xml:space="preserve"> </w:t>
      </w:r>
      <w:r>
        <w:rPr>
          <w:rFonts w:hint="eastAsia"/>
        </w:rPr>
        <w:t xml:space="preserve">保持类别分层。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划分后：训练集</w:t>
      </w:r>
      <w:r>
        <w:t xml:space="preserve"> 800 × </w:t>
      </w:r>
      <w:r>
        <w:rPr>
          <w:rFonts w:hint="eastAsia"/>
        </w:rPr>
        <w:t xml:space="preserve">21，测试集</w:t>
      </w:r>
      <w:r>
        <w:t xml:space="preserve"> 200 × </w:t>
      </w:r>
      <w:r>
        <w:rPr>
          <w:rFonts w:hint="eastAsia"/>
        </w:rPr>
        <w:t xml:space="preserve">21；训练集目标分布（约</w:t>
      </w:r>
      <w:r>
        <w:t xml:space="preserve"> </w:t>
      </w:r>
      <w:r>
        <w:rPr>
          <w:rFonts w:hint="eastAsia"/>
        </w:rPr>
        <w:t xml:space="preserve">70%/30%）。</w:t>
      </w:r>
    </w:p>
    <w:bookmarkEnd w:id="33"/>
    <w:bookmarkStart w:id="34" w:name="Xc2e1d4c157b071cec72914e0fe9e65dc5eaaab4"/>
    <w:p>
      <w:pPr>
        <w:pStyle w:val="Heading2"/>
      </w:pPr>
      <w:r>
        <w:t xml:space="preserve">4.2 </w:t>
      </w:r>
      <w:r>
        <w:rPr>
          <w:rFonts w:hint="eastAsia"/>
        </w:rPr>
        <w:t xml:space="preserve">模型训练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在统一预处理Pipeline基础上训练以下五类模型：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RandomForestClassifier（n_estimators=300，class_weight='balanced'）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GradientBoostingClassifier（默认参数）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XGBClassifier（n_estimators=400,</w:t>
      </w:r>
      <w:r>
        <w:t xml:space="preserve"> max_depth=4, learning_rate=0.05, subsample=0.9, colsample_bytree=0.9, </w:t>
      </w:r>
      <w:r>
        <w:rPr>
          <w:rFonts w:hint="eastAsia"/>
        </w:rPr>
        <w:t xml:space="preserve">eval_metric='logloss'）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AdaBoostClassifier（n_estimators=300,</w:t>
      </w:r>
      <w:r>
        <w:t xml:space="preserve"> </w:t>
      </w:r>
      <w:r>
        <w:rPr>
          <w:rFonts w:hint="eastAsia"/>
        </w:rPr>
        <w:t xml:space="preserve">learning_rate=0.5）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StackingClassifier（基学习器：RF/GBDT/(XGB)/Ada；元学习器：LogisticRegression）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交叉验证：对单模型在训练集上进行</w:t>
      </w:r>
      <w:r>
        <w:t xml:space="preserve"> 5 </w:t>
      </w:r>
      <w:r>
        <w:rPr>
          <w:rFonts w:hint="eastAsia"/>
        </w:rPr>
        <w:t xml:space="preserve">折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rPr>
          <w:rFonts w:hint="eastAsia"/>
        </w:rPr>
        <w:t xml:space="preserve">的</w:t>
      </w:r>
      <w:r>
        <w:t xml:space="preserve"> ROC-AUC </w:t>
      </w:r>
      <w:r>
        <w:rPr>
          <w:rFonts w:hint="eastAsia"/>
        </w:rPr>
        <w:t xml:space="preserve">评估（Stacking的CV在本轮未单独统计）。</w:t>
      </w:r>
    </w:p>
    <w:bookmarkEnd w:id="34"/>
    <w:bookmarkStart w:id="41" w:name="Xec48af3928bd04776e7d0ac2db2acc1514dc3e9"/>
    <w:p>
      <w:pPr>
        <w:pStyle w:val="Heading2"/>
      </w:pPr>
      <w:r>
        <w:t xml:space="preserve">4.3 </w:t>
      </w:r>
      <w:r>
        <w:rPr>
          <w:rFonts w:hint="eastAsia"/>
        </w:rPr>
        <w:t xml:space="preserve">模型验证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统一在测试集评估</w:t>
      </w:r>
      <w:r>
        <w:t xml:space="preserve"> Accuracy、Precision、Recall、F1、ROC-AUC。</w:t>
      </w:r>
    </w:p>
    <w:p>
      <w:pPr>
        <w:numPr>
          <w:ilvl w:val="0"/>
          <w:numId w:val="1013"/>
        </w:numPr>
      </w:pPr>
      <w:r>
        <w:t xml:space="preserve">ROC </w:t>
      </w:r>
      <w:r>
        <w:rPr>
          <w:rFonts w:hint="eastAsia"/>
        </w:rPr>
        <w:t xml:space="preserve">曲线：</w:t>
      </w:r>
      <w:r>
        <w:drawing>
          <wp:inline>
            <wp:extent cx="5334000" cy="444500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9\figs\roc_curv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最优模型混淆矩阵（基于</w:t>
      </w:r>
      <w:r>
        <w:t xml:space="preserve"> </w:t>
      </w:r>
      <w:r>
        <w:rPr>
          <w:rFonts w:hint="eastAsia"/>
        </w:rPr>
        <w:t xml:space="preserve">ROC-AUC）：</w:t>
      </w:r>
      <w:r>
        <w:drawing>
          <wp:inline>
            <wp:extent cx="3694545" cy="3694545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9\figs\cm_RandomFor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545" cy="369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6cbba5bf6fba4fafb018b7d2a305b7fa6fa88fd"/>
    <w:p>
      <w:pPr>
        <w:pStyle w:val="Heading2"/>
      </w:pPr>
      <w:r>
        <w:t xml:space="preserve">4.4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指标汇总（测试集表现与训练CV的AUC均值/方差）：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train_time_sec</w:t>
            </w:r>
          </w:p>
        </w:tc>
        <w:tc>
          <w:tcPr/>
          <w:p>
            <w:pPr>
              <w:pStyle w:val="Compact"/>
            </w:pPr>
            <w:r>
              <w:t xml:space="preserve">cv_auc_mean</w:t>
            </w:r>
          </w:p>
        </w:tc>
        <w:tc>
          <w:tcPr/>
          <w:p>
            <w:pPr>
              <w:pStyle w:val="Compact"/>
            </w:pPr>
            <w:r>
              <w:t xml:space="preserve">cv_auc_std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0.8606</w:t>
            </w:r>
          </w:p>
        </w:tc>
        <w:tc>
          <w:tcPr/>
          <w:p>
            <w:pPr>
              <w:pStyle w:val="Compact"/>
            </w:pPr>
            <w:r>
              <w:t xml:space="preserve">0.0384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0.8636</w:t>
            </w:r>
          </w:p>
        </w:tc>
        <w:tc>
          <w:tcPr/>
          <w:p>
            <w:pPr>
              <w:pStyle w:val="Compact"/>
            </w:pPr>
            <w:r>
              <w:t xml:space="preserve">0.6333</w:t>
            </w:r>
          </w:p>
        </w:tc>
        <w:tc>
          <w:tcPr/>
          <w:p>
            <w:pPr>
              <w:pStyle w:val="Compact"/>
            </w:pPr>
            <w:r>
              <w:t xml:space="preserve">0.7308</w:t>
            </w:r>
          </w:p>
        </w:tc>
        <w:tc>
          <w:tcPr/>
          <w:p>
            <w:pPr>
              <w:pStyle w:val="Compact"/>
            </w:pPr>
            <w:r>
              <w:t xml:space="preserve">0.8853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GBDT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0.8536</w:t>
            </w:r>
          </w:p>
        </w:tc>
        <w:tc>
          <w:tcPr/>
          <w:p>
            <w:pPr>
              <w:pStyle w:val="Compact"/>
            </w:pPr>
            <w:r>
              <w:t xml:space="preserve">0.0295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0.8085</w:t>
            </w:r>
          </w:p>
        </w:tc>
        <w:tc>
          <w:tcPr/>
          <w:p>
            <w:pPr>
              <w:pStyle w:val="Compact"/>
            </w:pPr>
            <w:r>
              <w:t xml:space="preserve">0.6333</w:t>
            </w:r>
          </w:p>
        </w:tc>
        <w:tc>
          <w:tcPr/>
          <w:p>
            <w:pPr>
              <w:pStyle w:val="Compact"/>
            </w:pPr>
            <w:r>
              <w:t xml:space="preserve">0.7103</w:t>
            </w:r>
          </w:p>
        </w:tc>
        <w:tc>
          <w:tcPr/>
          <w:p>
            <w:pPr>
              <w:pStyle w:val="Compact"/>
            </w:pPr>
            <w:r>
              <w:t xml:space="preserve">0.8754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  <w:tc>
          <w:tcPr/>
          <w:p>
            <w:pPr>
              <w:pStyle w:val="Compact"/>
            </w:pPr>
            <w:r>
              <w:t xml:space="preserve">0.8409</w:t>
            </w:r>
          </w:p>
        </w:tc>
        <w:tc>
          <w:tcPr/>
          <w:p>
            <w:pPr>
              <w:pStyle w:val="Compact"/>
            </w:pPr>
            <w:r>
              <w:t xml:space="preserve">0.0315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0.7308</w:t>
            </w:r>
          </w:p>
        </w:tc>
        <w:tc>
          <w:tcPr/>
          <w:p>
            <w:pPr>
              <w:pStyle w:val="Compact"/>
            </w:pPr>
            <w:r>
              <w:t xml:space="preserve">0.6333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0.8848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AdaBoost</w:t>
            </w:r>
          </w:p>
        </w:tc>
        <w:tc>
          <w:tcPr/>
          <w:p>
            <w:pPr>
              <w:pStyle w:val="Compact"/>
            </w:pPr>
            <w:r>
              <w:t xml:space="preserve">1.418</w:t>
            </w:r>
          </w:p>
        </w:tc>
        <w:tc>
          <w:tcPr/>
          <w:p>
            <w:pPr>
              <w:pStyle w:val="Compact"/>
            </w:pPr>
            <w:r>
              <w:t xml:space="preserve">0.8556</w:t>
            </w:r>
          </w:p>
        </w:tc>
        <w:tc>
          <w:tcPr/>
          <w:p>
            <w:pPr>
              <w:pStyle w:val="Compact"/>
            </w:pPr>
            <w:r>
              <w:t xml:space="preserve">0.0286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0.8000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0.6857</w:t>
            </w:r>
          </w:p>
        </w:tc>
        <w:tc>
          <w:tcPr/>
          <w:p>
            <w:pPr>
              <w:pStyle w:val="Compact"/>
            </w:pPr>
            <w:r>
              <w:t xml:space="preserve">0.8693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</w:t>
            </w:r>
          </w:p>
        </w:tc>
        <w:tc>
          <w:tcPr/>
          <w:p>
            <w:pPr>
              <w:pStyle w:val="Compact"/>
            </w:pPr>
            <w:r>
              <w:t xml:space="preserve">22.960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0.6613</w:t>
            </w:r>
          </w:p>
        </w:tc>
        <w:tc>
          <w:tcPr/>
          <w:p>
            <w:pPr>
              <w:pStyle w:val="Compact"/>
            </w:pPr>
            <w:r>
              <w:t xml:space="preserve">0.6833</w:t>
            </w:r>
          </w:p>
        </w:tc>
        <w:tc>
          <w:tcPr/>
          <w:p>
            <w:pPr>
              <w:pStyle w:val="Compact"/>
            </w:pPr>
            <w:r>
              <w:t xml:space="preserve">0.6721</w:t>
            </w:r>
          </w:p>
        </w:tc>
        <w:tc>
          <w:tcPr/>
          <w:p>
            <w:pPr>
              <w:pStyle w:val="Compact"/>
            </w:pPr>
            <w:r>
              <w:t xml:space="preserve">0.8846</w:t>
            </w:r>
          </w:p>
        </w:tc>
      </w:tr>
    </w:tbl>
    <w:p>
      <w:pPr>
        <w:numPr>
          <w:ilvl w:val="0"/>
          <w:numId w:val="1015"/>
        </w:numPr>
      </w:pPr>
      <w:r>
        <w:rPr>
          <w:rFonts w:hint="eastAsia"/>
        </w:rPr>
        <w:t xml:space="preserve">观察：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随机森林在测试集上取得最高的ROC-AUC（≈0.885），且在F1、Accuracy方面也较为均衡。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XGBoost与Stacking的AUC非常接近，但F1略低于随机森林。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类不平衡导致Recall相对保守，后续可通过阈值移动、类权重/SMOTE等方式优化召回率。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特征重要性（基于最优模型随机森林Top-20）见图：</w:t>
      </w:r>
      <w:r>
        <w:drawing>
          <wp:inline>
            <wp:extent cx="5334000" cy="4000499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31670\Desktop\Study-Material\MISC\%E5%AE%9E%E9%AA%8C%E4%B8%89\figs\feature_importance_RandomFore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82519524660206a6984e1d47e750e5912170ea0"/>
    <w:p>
      <w:pPr>
        <w:pStyle w:val="Heading1"/>
      </w:pPr>
      <w:r>
        <w:t xml:space="preserve">5 </w:t>
      </w:r>
      <w:r>
        <w:rPr>
          <w:rFonts w:hint="eastAsia"/>
        </w:rPr>
        <w:t xml:space="preserve">总结</w:t>
      </w:r>
    </w:p>
    <w:bookmarkStart w:id="47" w:name="X225c5ab5ee7485e5a66aaf16e670b78587e8c6d"/>
    <w:p>
      <w:pPr>
        <w:pStyle w:val="Heading2"/>
      </w:pPr>
      <w:r>
        <w:t xml:space="preserve">5.1 </w:t>
      </w:r>
      <w:r>
        <w:rPr>
          <w:rFonts w:hint="eastAsia"/>
        </w:rPr>
        <w:t xml:space="preserve">全文总结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本实验以“既往史-心血管”为目标，完成了从数据理解、预处理、EDA到五类模型训练与评估的完整流程。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在统一预处理与评估标准下，随机森林模型表现最佳（测试集ROC-AUC≈0.885，F1≈0.731，Accuracy≈0.860）。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模型对比显示树模型在此类结构化特征上具有较强表现；Stacking在本轮设置下并未显著超越最佳基模型。</w:t>
      </w:r>
    </w:p>
    <w:bookmarkEnd w:id="47"/>
    <w:bookmarkStart w:id="48" w:name="X1376b682761abd43c6f616aceee4cac747513d7"/>
    <w:p>
      <w:pPr>
        <w:pStyle w:val="Heading2"/>
      </w:pPr>
      <w:r>
        <w:t xml:space="preserve">5.2 </w:t>
      </w:r>
      <w:r>
        <w:rPr>
          <w:rFonts w:hint="eastAsia"/>
        </w:rPr>
        <w:t xml:space="preserve">课设体会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数据预处理与特征工程对最终效果影响显著，保持预处理与模型绑定（Pipeline）能有效避免泄漏。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类不平衡问题应结合业务目标选择合适的优化方向（提高Recall或Precision），可通过阈值调整、重采样或代价敏感学习实现。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后续可扩展：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更系统的超参数搜索（RandomizedSearch/GridSearch、Bayesian</w:t>
      </w:r>
      <w:r>
        <w:t xml:space="preserve"> </w:t>
      </w:r>
      <w:r>
        <w:rPr>
          <w:rFonts w:hint="eastAsia"/>
        </w:rPr>
        <w:t xml:space="preserve">Optimization）。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文本列（如“疾病描述”）的NLP向量化与多模态融合。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利用SHAP等可解释性工具深入剖析特征对预测的边际贡献。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35" Target="media/rId3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2025-11-05T14:38:49Z</dcterms:created>
  <dcterms:modified xsi:type="dcterms:W3CDTF">2025-11-05T14:38:49Z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