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imHei" w:hAnsi="SimHei" w:eastAsia="黑体"/>
          <w:sz w:val="32"/>
        </w:rPr>
        <w:t>1  课题任务</w:t>
      </w:r>
    </w:p>
    <w:p>
      <w:pPr>
        <w:jc w:val="left"/>
      </w:pPr>
      <w:r>
        <w:rPr>
          <w:rFonts w:ascii="SimHei" w:hAnsi="SimHei" w:eastAsia="黑体"/>
          <w:sz w:val="28"/>
        </w:rPr>
        <w:t>1.1  任务内容</w:t>
      </w:r>
    </w:p>
    <w:p>
      <w:r>
        <w:rPr>
          <w:rFonts w:ascii="宋体" w:hAnsi="宋体" w:eastAsia="宋体"/>
          <w:sz w:val="24"/>
        </w:rPr>
        <w:t>基于 MNIST 数据集，利用多层前馈 BP 神经网络实现手写体数字（0-9）的自动识别。</w:t>
      </w:r>
    </w:p>
    <w:p>
      <w:pPr>
        <w:jc w:val="left"/>
      </w:pPr>
      <w:r>
        <w:rPr>
          <w:rFonts w:ascii="SimHei" w:hAnsi="SimHei" w:eastAsia="黑体"/>
          <w:sz w:val="28"/>
        </w:rPr>
        <w:t>1.2  任务要求</w:t>
      </w:r>
    </w:p>
    <w:p>
      <w:r>
        <w:rPr>
          <w:rFonts w:ascii="宋体" w:hAnsi="宋体" w:eastAsia="宋体"/>
          <w:sz w:val="24"/>
        </w:rPr>
        <w:t>正确读取与预处理 MNIST 数据；构建 BP 神经网络；给出训练与验证曲线；在测试集上评估准确率并分析结果。</w:t>
      </w:r>
    </w:p>
    <w:p>
      <w:pPr>
        <w:jc w:val="left"/>
      </w:pPr>
      <w:r>
        <w:rPr>
          <w:rFonts w:ascii="SimHei" w:hAnsi="SimHei" w:eastAsia="黑体"/>
          <w:sz w:val="32"/>
        </w:rPr>
        <w:t>2  数据说明与预处理</w:t>
      </w:r>
    </w:p>
    <w:p>
      <w:pPr>
        <w:jc w:val="left"/>
      </w:pPr>
      <w:r>
        <w:rPr>
          <w:rFonts w:ascii="SimHei" w:hAnsi="SimHei" w:eastAsia="黑体"/>
          <w:sz w:val="28"/>
        </w:rPr>
        <w:t>2.1  数据说明</w:t>
      </w:r>
    </w:p>
    <w:p>
      <w:r>
        <w:rPr>
          <w:rFonts w:ascii="宋体" w:hAnsi="宋体" w:eastAsia="宋体"/>
          <w:sz w:val="24"/>
        </w:rPr>
        <w:t>MNIST：60000 张训练图像、10000 张测试图像，灰度 28×28，标签为 0-9。输入为 784 维向量，标签采用独热编码。</w:t>
      </w:r>
    </w:p>
    <w:p>
      <w:pPr>
        <w:jc w:val="left"/>
      </w:pPr>
      <w:r>
        <w:rPr>
          <w:rFonts w:ascii="SimHei" w:hAnsi="SimHei" w:eastAsia="黑体"/>
          <w:sz w:val="28"/>
        </w:rPr>
        <w:t>2.2  数据预处理</w:t>
      </w:r>
    </w:p>
    <w:p>
      <w:r>
        <w:rPr>
          <w:rFonts w:ascii="宋体" w:hAnsi="宋体" w:eastAsia="宋体"/>
          <w:sz w:val="24"/>
        </w:rPr>
        <w:t>像素归一化到 [0,1]；将 28×28 拉平成 784；标签独热编码。</w:t>
      </w:r>
    </w:p>
    <w:p>
      <w:pPr>
        <w:jc w:val="left"/>
      </w:pPr>
      <w:r>
        <w:rPr>
          <w:rFonts w:ascii="SimHei" w:hAnsi="SimHei" w:eastAsia="黑体"/>
          <w:sz w:val="32"/>
        </w:rPr>
        <w:t>3  探索性分析</w:t>
      </w:r>
    </w:p>
    <w:p>
      <w:pPr>
        <w:jc w:val="left"/>
      </w:pPr>
      <w:r>
        <w:rPr>
          <w:rFonts w:ascii="SimHei" w:hAnsi="SimHei" w:eastAsia="黑体"/>
          <w:sz w:val="28"/>
        </w:rPr>
        <w:t>3.1  数字类别的分布情况</w:t>
      </w:r>
    </w:p>
    <w:p>
      <w:r>
        <w:rPr>
          <w:rFonts w:ascii="宋体" w:hAnsi="宋体" w:eastAsia="宋体"/>
          <w:sz w:val="24"/>
        </w:rPr>
        <w:t>如下图所示，训练集与测试集的类别分布基本均衡。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SimHei" w:hAnsi="SimHei" w:eastAsia="黑体"/>
          <w:sz w:val="28"/>
        </w:rPr>
        <w:t>3.2  遍历部分样本图片</w:t>
      </w:r>
    </w:p>
    <w:p>
      <w:r>
        <w:rPr>
          <w:rFonts w:ascii="宋体" w:hAnsi="宋体" w:eastAsia="宋体"/>
          <w:sz w:val="24"/>
        </w:rPr>
        <w:t>展示随机样本与按类别样本网格。</w:t>
      </w:r>
    </w:p>
    <w:p>
      <w:r>
        <w:drawing>
          <wp:inline xmlns:a="http://schemas.openxmlformats.org/drawingml/2006/main" xmlns:pic="http://schemas.openxmlformats.org/drawingml/2006/picture">
            <wp:extent cx="54864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SimHei" w:hAnsi="SimHei" w:eastAsia="黑体"/>
          <w:sz w:val="32"/>
        </w:rPr>
        <w:t>4  分析建模</w:t>
      </w:r>
    </w:p>
    <w:p>
      <w:pPr>
        <w:jc w:val="left"/>
      </w:pPr>
      <w:r>
        <w:rPr>
          <w:rFonts w:ascii="SimHei" w:hAnsi="SimHei" w:eastAsia="黑体"/>
          <w:sz w:val="28"/>
        </w:rPr>
        <w:t>4.1 划分数据集</w:t>
      </w:r>
    </w:p>
    <w:p>
      <w:r>
        <w:rPr>
          <w:rFonts w:ascii="宋体" w:hAnsi="宋体" w:eastAsia="宋体"/>
          <w:sz w:val="24"/>
        </w:rPr>
        <w:t>使用数据集原生的训练/测试划分，训练集中再切分 10% 作为验证集。</w:t>
      </w:r>
    </w:p>
    <w:p>
      <w:pPr>
        <w:jc w:val="left"/>
      </w:pPr>
      <w:r>
        <w:rPr>
          <w:rFonts w:ascii="SimHei" w:hAnsi="SimHei" w:eastAsia="黑体"/>
          <w:sz w:val="28"/>
        </w:rPr>
        <w:t>4.2 模型训练</w:t>
      </w:r>
    </w:p>
    <w:p>
      <w:r>
        <w:rPr>
          <w:rFonts w:ascii="宋体" w:hAnsi="宋体" w:eastAsia="宋体"/>
          <w:sz w:val="24"/>
        </w:rPr>
        <w:t>使用 Keras Sequential 构建三层全连接网络，优化器 SGD，损失函数 categorical_crossentropy，记录训练历史。</w:t>
      </w:r>
    </w:p>
    <w:p>
      <w:pPr>
        <w:jc w:val="left"/>
      </w:pPr>
      <w:r>
        <w:rPr>
          <w:rFonts w:ascii="SimHei" w:hAnsi="SimHei" w:eastAsia="黑体"/>
          <w:sz w:val="28"/>
        </w:rPr>
        <w:t>4.3 模型验证</w:t>
      </w:r>
    </w:p>
    <w:p>
      <w:r>
        <w:rPr>
          <w:rFonts w:ascii="宋体" w:hAnsi="宋体" w:eastAsia="宋体"/>
          <w:sz w:val="24"/>
        </w:rPr>
        <w:t>在测试集上评估损失与准确率，输出分类报告与混淆矩阵。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SimHei" w:hAnsi="SimHei" w:eastAsia="黑体"/>
          <w:sz w:val="28"/>
        </w:rPr>
        <w:t>4.4  结果分析</w:t>
      </w:r>
    </w:p>
    <w:p>
      <w:r>
        <w:rPr>
          <w:rFonts w:ascii="宋体" w:hAnsi="宋体" w:eastAsia="宋体"/>
          <w:sz w:val="24"/>
        </w:rPr>
        <w:t>整体准确率较高，易混类别主要集中在形状相近的数字（如 4/9、5/6 等）。可通过更深层网络或引入卷积特征进一步提升性能。</w:t>
      </w:r>
    </w:p>
    <w:p>
      <w:pPr>
        <w:jc w:val="left"/>
      </w:pPr>
      <w:r>
        <w:rPr>
          <w:rFonts w:ascii="SimHei" w:hAnsi="SimHei" w:eastAsia="黑体"/>
          <w:sz w:val="32"/>
        </w:rPr>
        <w:t>5  总结</w:t>
      </w:r>
    </w:p>
    <w:p>
      <w:pPr>
        <w:jc w:val="left"/>
      </w:pPr>
      <w:r>
        <w:rPr>
          <w:rFonts w:ascii="SimHei" w:hAnsi="SimHei" w:eastAsia="黑体"/>
          <w:sz w:val="28"/>
        </w:rPr>
        <w:t>5.1  全文总结</w:t>
      </w:r>
    </w:p>
    <w:p>
      <w:r>
        <w:rPr>
          <w:rFonts w:ascii="宋体" w:hAnsi="宋体" w:eastAsia="宋体"/>
          <w:sz w:val="24"/>
        </w:rPr>
        <w:t>本文基于 MNIST 完成了 BP 神经网络的手写数字识别，从数据预处理、探索性分析到建模、评估与可视化，流程完整、结果可靠。</w:t>
      </w:r>
    </w:p>
    <w:p>
      <w:pPr>
        <w:jc w:val="left"/>
      </w:pPr>
      <w:r>
        <w:rPr>
          <w:rFonts w:ascii="SimHei" w:hAnsi="SimHei" w:eastAsia="黑体"/>
          <w:sz w:val="28"/>
        </w:rPr>
        <w:t>5.2  课设体会</w:t>
      </w:r>
    </w:p>
    <w:p>
      <w:r>
        <w:rPr>
          <w:rFonts w:ascii="宋体" w:hAnsi="宋体" w:eastAsia="宋体"/>
          <w:sz w:val="24"/>
        </w:rPr>
        <w:t>通过该实验熟悉了 Keras 建模流程以及实验可复现与可视化文档化的实践方法。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