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02BC886" w14:textId="77777777" w:rsidR="009D6B57" w:rsidRDefault="00D229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19E51D1E" wp14:editId="3E3E787D">
                <wp:simplePos x="0" y="0"/>
                <wp:positionH relativeFrom="page">
                  <wp:posOffset>657224</wp:posOffset>
                </wp:positionH>
                <wp:positionV relativeFrom="page">
                  <wp:posOffset>1238250</wp:posOffset>
                </wp:positionV>
                <wp:extent cx="2924175" cy="707707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7077075"/>
                        </a:xfrm>
                        <a:prstGeom prst="rect">
                          <a:avLst/>
                        </a:prstGeom>
                        <a:solidFill>
                          <a:srgbClr val="2B5A85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FB39E" w14:textId="77777777" w:rsidR="00063CF8" w:rsidRDefault="00063CF8" w:rsidP="00181E2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98BC5A2" w14:textId="4BD5EB80" w:rsidR="009E7F5D" w:rsidRPr="00063CF8" w:rsidRDefault="003C2575" w:rsidP="00181E2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Th</w:t>
                            </w:r>
                            <w:r w:rsidR="009E7F5D"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is is the second issue of a quarterly newsletter </w:t>
                            </w:r>
                            <w:r w:rsidR="0045787C" w:rsidRPr="004578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on important ethical issues and appropriate action </w:t>
                            </w:r>
                            <w:r w:rsidR="009E7F5D"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for DAI employees around the world. The topic this quarter is managing our implementing partners</w:t>
                            </w:r>
                            <w:r w:rsidR="00B5456F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="009E7F5D"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subcontractors, vendors, grantees</w:t>
                            </w:r>
                            <w:r w:rsidR="004578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 w:rsidR="009E7F5D"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other entities</w:t>
                            </w:r>
                            <w:r w:rsidR="004578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229D942" w14:textId="7329726A" w:rsidR="00A070D4" w:rsidRPr="00063CF8" w:rsidRDefault="009E7F5D" w:rsidP="00181E2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DAI recently received two </w:t>
                            </w:r>
                            <w:r w:rsidR="00FF2B25"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awards for the quality of our </w:t>
                            </w:r>
                            <w:r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re</w:t>
                            </w:r>
                            <w:r w:rsidR="004578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lationships with subcontractors: </w:t>
                            </w:r>
                          </w:p>
                          <w:p w14:paraId="1A8060C4" w14:textId="1D0C8221" w:rsidR="00A070D4" w:rsidRPr="00063CF8" w:rsidRDefault="009E7F5D" w:rsidP="00181E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DFID recognized DAI with </w:t>
                            </w:r>
                            <w:r w:rsidR="004578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its</w:t>
                            </w:r>
                            <w:r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first “Fair Treatment of Subcontractors” award</w:t>
                            </w:r>
                            <w:r w:rsidR="00A070D4"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A0D03FD" w14:textId="0774E365" w:rsidR="00A070D4" w:rsidRPr="00063CF8" w:rsidRDefault="00A070D4" w:rsidP="00181E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</w:t>
                            </w:r>
                            <w:r w:rsidR="009E7F5D"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 the U</w:t>
                            </w:r>
                            <w:r w:rsidR="004578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nited States</w:t>
                            </w:r>
                            <w:r w:rsidR="009E7F5D"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DAI was recognized as the “Prime Partner of the Year” by </w:t>
                            </w:r>
                            <w:r w:rsidR="00FF2B25"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</w:t>
                            </w:r>
                            <w:r w:rsidR="009E7F5D"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local chamber of commerce.</w:t>
                            </w:r>
                            <w:r w:rsidR="004578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5EE802" w14:textId="410269EE" w:rsidR="009E7F5D" w:rsidRPr="00063CF8" w:rsidRDefault="0045787C" w:rsidP="00181E2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578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“International development is al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ways a collaborative enterprise,</w:t>
                            </w:r>
                            <w:r w:rsidRPr="004578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noted CEO</w:t>
                            </w:r>
                            <w:r w:rsidRPr="004578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Jim Boomgard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who celebrated the awards as </w:t>
                            </w:r>
                            <w:r w:rsidR="009E7F5D"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recogniz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ing DAI’s efforts “</w:t>
                            </w:r>
                            <w:r w:rsidR="009E7F5D"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to build working relati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onships based on mutual respect.” </w:t>
                            </w:r>
                          </w:p>
                          <w:p w14:paraId="710075BE" w14:textId="77777777" w:rsidR="0045787C" w:rsidRDefault="005C3B06" w:rsidP="00181E2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Please discuss </w:t>
                            </w:r>
                            <w:r w:rsidR="0045787C" w:rsidRPr="004578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with your staff </w:t>
                            </w:r>
                            <w:r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the cases </w:t>
                            </w:r>
                            <w:r w:rsidR="004578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discussed in this newsletter and</w:t>
                            </w:r>
                            <w:r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others </w:t>
                            </w:r>
                            <w:r w:rsidR="004578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regarding</w:t>
                            </w:r>
                            <w:r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 constructive management of our implementing partners.</w:t>
                            </w:r>
                            <w:r w:rsidR="004578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C8C17B3" w14:textId="14A69C1E" w:rsidR="00A070D4" w:rsidRPr="00063CF8" w:rsidRDefault="003C2575" w:rsidP="00181E2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If you have any questions or concerns about behavior related to the </w:t>
                            </w:r>
                            <w:r w:rsidRPr="0045787C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Code of Business Conduct and Ethics</w:t>
                            </w:r>
                            <w:r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, talk with your supervisor. You can also send an email to ethics@dai.com, call the ethics hotline at +1-503-597-4328</w:t>
                            </w:r>
                            <w:r w:rsidR="0045787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 w:rsidRPr="00063CF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or visit www.dai.ethicspoint.com. </w:t>
                            </w:r>
                          </w:p>
                          <w:p w14:paraId="752E4840" w14:textId="4B040922" w:rsidR="00181E20" w:rsidRPr="00181E20" w:rsidRDefault="003C2575" w:rsidP="00181E2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81E2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You can also reach out directly to</w:t>
                            </w:r>
                            <w:r w:rsidR="00181E20" w:rsidRPr="00181E2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5763174" w14:textId="328C1B1C" w:rsidR="003C2575" w:rsidRPr="00181E20" w:rsidRDefault="0045787C" w:rsidP="00181E2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Jeremy Finch, DAI </w:t>
                            </w:r>
                            <w:r w:rsidR="003C2575" w:rsidRPr="00181E2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Europe </w:t>
                            </w:r>
                            <w:r w:rsidR="00A070D4" w:rsidRPr="00181E2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Head of </w:t>
                            </w:r>
                            <w:r w:rsidR="003C2575" w:rsidRPr="00181E2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Internal Audit and Ethics &amp; Compliance Officer (jeremy_finch@dai.com, </w:t>
                            </w:r>
                            <w:r w:rsidR="00A070D4" w:rsidRPr="00181E2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+44-7834-439974</w:t>
                            </w:r>
                            <w:r w:rsidR="003C2575" w:rsidRPr="00181E2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) or Mike Walsh, Chief Ethics &amp; Compliance Officer (mike_walsh@dai.com, +1-301-771-7998).</w:t>
                            </w:r>
                          </w:p>
                          <w:p w14:paraId="04036EDE" w14:textId="77777777" w:rsidR="00063CF8" w:rsidRPr="00D732EC" w:rsidRDefault="00063CF8" w:rsidP="00A070D4">
                            <w:p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F98DC9B" w14:textId="0B7366A7" w:rsidR="00A41563" w:rsidRPr="00D732EC" w:rsidRDefault="00A41563" w:rsidP="00A070D4">
                            <w:p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732E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This document can be found at </w:t>
                            </w:r>
                            <w:hyperlink r:id="rId7" w:history="1">
                              <w:r w:rsidR="00D732EC" w:rsidRPr="00D732EC">
                                <w:rPr>
                                  <w:rStyle w:val="Hyperlink"/>
                                  <w:color w:val="FFFFFF" w:themeColor="background1"/>
                                  <w:sz w:val="20"/>
                                  <w:szCs w:val="20"/>
                                </w:rPr>
                                <w:t>http://dai-global-conduct.com/integrity/exercising-due-diligence/</w:t>
                              </w:r>
                            </w:hyperlink>
                          </w:p>
                          <w:p w14:paraId="4257895C" w14:textId="77777777" w:rsidR="00D732EC" w:rsidRPr="00181E20" w:rsidRDefault="00D732EC" w:rsidP="00A070D4">
                            <w:p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51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.75pt;margin-top:97.5pt;width:230.25pt;height:557.25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" fillcolor="#2b5a85" stroked="f">
                <v:textbox>
                  <w:txbxContent>
                    <w:p w14:paraId="50AFB39E" w14:textId="77777777" w:rsidR="00063CF8" w:rsidRDefault="00063CF8" w:rsidP="00181E2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98BC5A2" w14:textId="4BD5EB80" w:rsidR="009E7F5D" w:rsidRPr="00063CF8" w:rsidRDefault="003C2575" w:rsidP="00181E2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>Th</w:t>
                      </w:r>
                      <w:r w:rsidR="009E7F5D"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is is the second issue of a quarterly newsletter </w:t>
                      </w:r>
                      <w:r w:rsidR="0045787C" w:rsidRPr="0045787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on important ethical issues and appropriate action </w:t>
                      </w:r>
                      <w:r w:rsidR="009E7F5D"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>for DAI employees around the world. The topic this quarter is managing our implementing partners</w:t>
                      </w:r>
                      <w:r w:rsidR="00B5456F">
                        <w:rPr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="009E7F5D"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subcontractors, vendors, grantees</w:t>
                      </w:r>
                      <w:r w:rsidR="0045787C">
                        <w:rPr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  <w:r w:rsidR="009E7F5D"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and other entities</w:t>
                      </w:r>
                      <w:r w:rsidR="0045787C">
                        <w:rPr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0229D942" w14:textId="7329726A" w:rsidR="00A070D4" w:rsidRPr="00063CF8" w:rsidRDefault="009E7F5D" w:rsidP="00181E2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DAI recently received two </w:t>
                      </w:r>
                      <w:r w:rsidR="00FF2B25"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awards for the quality of our </w:t>
                      </w:r>
                      <w:r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>re</w:t>
                      </w:r>
                      <w:r w:rsidR="0045787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lationships with subcontractors: </w:t>
                      </w:r>
                    </w:p>
                    <w:p w14:paraId="1A8060C4" w14:textId="1D0C8221" w:rsidR="00A070D4" w:rsidRPr="00063CF8" w:rsidRDefault="009E7F5D" w:rsidP="00181E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 w:hanging="284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DFID recognized DAI with </w:t>
                      </w:r>
                      <w:r w:rsidR="0045787C">
                        <w:rPr>
                          <w:color w:val="FFFFFF" w:themeColor="background1"/>
                          <w:sz w:val="20"/>
                          <w:szCs w:val="20"/>
                        </w:rPr>
                        <w:t>its</w:t>
                      </w:r>
                      <w:r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first “Fair Treatment of Subcontractors” award</w:t>
                      </w:r>
                      <w:r w:rsidR="00A070D4"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  <w:r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A0D03FD" w14:textId="0774E365" w:rsidR="00A070D4" w:rsidRPr="00063CF8" w:rsidRDefault="00A070D4" w:rsidP="00181E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 w:hanging="284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>I</w:t>
                      </w:r>
                      <w:r w:rsidR="009E7F5D"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>n the U</w:t>
                      </w:r>
                      <w:r w:rsidR="0045787C">
                        <w:rPr>
                          <w:color w:val="FFFFFF" w:themeColor="background1"/>
                          <w:sz w:val="20"/>
                          <w:szCs w:val="20"/>
                        </w:rPr>
                        <w:t>nited States</w:t>
                      </w:r>
                      <w:r w:rsidR="009E7F5D"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, DAI was recognized as the “Prime Partner of the Year” by </w:t>
                      </w:r>
                      <w:r w:rsidR="00FF2B25"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>a</w:t>
                      </w:r>
                      <w:r w:rsidR="009E7F5D"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local chamber of commerce.</w:t>
                      </w:r>
                      <w:r w:rsidR="0045787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5EE802" w14:textId="410269EE" w:rsidR="009E7F5D" w:rsidRPr="00063CF8" w:rsidRDefault="0045787C" w:rsidP="00181E2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45787C">
                        <w:rPr>
                          <w:color w:val="FFFFFF" w:themeColor="background1"/>
                          <w:sz w:val="20"/>
                          <w:szCs w:val="20"/>
                        </w:rPr>
                        <w:t>“International development is al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ways a collaborative enterprise,</w:t>
                      </w:r>
                      <w:r w:rsidRPr="0045787C">
                        <w:rPr>
                          <w:color w:val="FFFFFF" w:themeColor="background1"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noted CEO</w:t>
                      </w:r>
                      <w:r w:rsidRPr="0045787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Jim Boomgard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, who celebrated the awards as </w:t>
                      </w:r>
                      <w:r w:rsidR="009E7F5D"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>recogniz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ing DAI’s efforts “</w:t>
                      </w:r>
                      <w:r w:rsidR="009E7F5D"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>to build working relati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onships based on mutual respect.” </w:t>
                      </w:r>
                    </w:p>
                    <w:p w14:paraId="710075BE" w14:textId="77777777" w:rsidR="0045787C" w:rsidRDefault="005C3B06" w:rsidP="00181E2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Please discuss </w:t>
                      </w:r>
                      <w:r w:rsidR="0045787C" w:rsidRPr="0045787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with your staff </w:t>
                      </w:r>
                      <w:r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the cases </w:t>
                      </w:r>
                      <w:r w:rsidR="0045787C">
                        <w:rPr>
                          <w:color w:val="FFFFFF" w:themeColor="background1"/>
                          <w:sz w:val="20"/>
                          <w:szCs w:val="20"/>
                        </w:rPr>
                        <w:t>discussed in this newsletter and</w:t>
                      </w:r>
                      <w:r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others </w:t>
                      </w:r>
                      <w:r w:rsidR="0045787C">
                        <w:rPr>
                          <w:color w:val="FFFFFF" w:themeColor="background1"/>
                          <w:sz w:val="20"/>
                          <w:szCs w:val="20"/>
                        </w:rPr>
                        <w:t>regarding</w:t>
                      </w:r>
                      <w:r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the constructive management of our implementing partners.</w:t>
                      </w:r>
                      <w:r w:rsidR="0045787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C8C17B3" w14:textId="14A69C1E" w:rsidR="00A070D4" w:rsidRPr="00063CF8" w:rsidRDefault="003C2575" w:rsidP="00181E2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If you have any questions or concerns about behavior related to the </w:t>
                      </w:r>
                      <w:r w:rsidRPr="0045787C">
                        <w:rPr>
                          <w:i/>
                          <w:color w:val="FFFFFF" w:themeColor="background1"/>
                          <w:sz w:val="20"/>
                          <w:szCs w:val="20"/>
                        </w:rPr>
                        <w:t>Code of Business Conduct and Ethics</w:t>
                      </w:r>
                      <w:r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>, talk with your supervisor. You can also send an email to ethics@dai.com, call the ethics hotline at +1-503-597-4328</w:t>
                      </w:r>
                      <w:r w:rsidR="0045787C">
                        <w:rPr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  <w:r w:rsidRPr="00063CF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or visit www.dai.ethicspoint.com. </w:t>
                      </w:r>
                    </w:p>
                    <w:p w14:paraId="752E4840" w14:textId="4B040922" w:rsidR="00181E20" w:rsidRPr="00181E20" w:rsidRDefault="003C2575" w:rsidP="00181E2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81E20">
                        <w:rPr>
                          <w:color w:val="FFFFFF" w:themeColor="background1"/>
                          <w:sz w:val="20"/>
                          <w:szCs w:val="20"/>
                        </w:rPr>
                        <w:t>You can also reach out directly to</w:t>
                      </w:r>
                      <w:r w:rsidR="00181E20" w:rsidRPr="00181E20">
                        <w:rPr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</w:p>
                    <w:p w14:paraId="25763174" w14:textId="328C1B1C" w:rsidR="003C2575" w:rsidRPr="00181E20" w:rsidRDefault="0045787C" w:rsidP="00181E2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Jeremy Finch, DAI </w:t>
                      </w:r>
                      <w:r w:rsidR="003C2575" w:rsidRPr="00181E20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Europe </w:t>
                      </w:r>
                      <w:r w:rsidR="00A070D4" w:rsidRPr="00181E20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Head of </w:t>
                      </w:r>
                      <w:r w:rsidR="003C2575" w:rsidRPr="00181E20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Internal Audit and Ethics &amp; Compliance Officer (jeremy_finch@dai.com, </w:t>
                      </w:r>
                      <w:r w:rsidR="00A070D4" w:rsidRPr="00181E20">
                        <w:rPr>
                          <w:color w:val="FFFFFF" w:themeColor="background1"/>
                          <w:sz w:val="20"/>
                          <w:szCs w:val="20"/>
                        </w:rPr>
                        <w:t>+44-7834-439974</w:t>
                      </w:r>
                      <w:r w:rsidR="003C2575" w:rsidRPr="00181E20">
                        <w:rPr>
                          <w:color w:val="FFFFFF" w:themeColor="background1"/>
                          <w:sz w:val="20"/>
                          <w:szCs w:val="20"/>
                        </w:rPr>
                        <w:t>) or Mike Walsh, Chief Ethics &amp; Compliance Officer (mike_walsh@dai.com, +1-301-771-7998).</w:t>
                      </w:r>
                    </w:p>
                    <w:p w14:paraId="04036EDE" w14:textId="77777777" w:rsidR="00063CF8" w:rsidRPr="00D732EC" w:rsidRDefault="00063CF8" w:rsidP="00A070D4">
                      <w:pPr>
                        <w:jc w:val="both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F98DC9B" w14:textId="0B7366A7" w:rsidR="00A41563" w:rsidRPr="00D732EC" w:rsidRDefault="00A41563" w:rsidP="00A070D4">
                      <w:pPr>
                        <w:jc w:val="both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732E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This document can be found at </w:t>
                      </w:r>
                      <w:hyperlink r:id="rId8" w:history="1">
                        <w:r w:rsidR="00D732EC" w:rsidRPr="00D732EC">
                          <w:rPr>
                            <w:rStyle w:val="Hyperlink"/>
                            <w:color w:val="FFFFFF" w:themeColor="background1"/>
                            <w:sz w:val="20"/>
                            <w:szCs w:val="20"/>
                          </w:rPr>
                          <w:t>http://dai-global-conduct.com/integrity/exercising-due-diligence/</w:t>
                        </w:r>
                      </w:hyperlink>
                    </w:p>
                    <w:p w14:paraId="4257895C" w14:textId="77777777" w:rsidR="00D732EC" w:rsidRPr="00181E20" w:rsidRDefault="00D732EC" w:rsidP="00A070D4">
                      <w:pPr>
                        <w:jc w:val="both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5AB8BC48" w14:textId="77777777" w:rsidR="00B80774" w:rsidRDefault="00B80774" w:rsidP="00B96333">
      <w:pPr>
        <w:pStyle w:val="Heading1"/>
        <w:sectPr w:rsidR="00B80774" w:rsidSect="00B80774">
          <w:headerReference w:type="default" r:id="rId9"/>
          <w:headerReference w:type="first" r:id="rId10"/>
          <w:footerReference w:type="first" r:id="rId11"/>
          <w:pgSz w:w="12240" w:h="15840"/>
          <w:pgMar w:top="1440" w:right="720" w:bottom="720" w:left="720" w:header="720" w:footer="288" w:gutter="0"/>
          <w:cols w:num="2" w:space="180"/>
          <w:titlePg/>
          <w:docGrid w:linePitch="360"/>
        </w:sectPr>
      </w:pPr>
    </w:p>
    <w:p w14:paraId="7C1BFCE1" w14:textId="491E6B48" w:rsidR="009E7F5D" w:rsidRPr="00DF2BF0" w:rsidRDefault="00181E20" w:rsidP="005C3B06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Managing O</w:t>
      </w:r>
      <w:r w:rsidR="009E7F5D" w:rsidRPr="00DF2BF0">
        <w:rPr>
          <w:sz w:val="36"/>
          <w:szCs w:val="36"/>
        </w:rPr>
        <w:t>ur Partners:</w:t>
      </w:r>
      <w:r w:rsidR="009E7F5D" w:rsidRPr="00DF2BF0">
        <w:rPr>
          <w:sz w:val="36"/>
          <w:szCs w:val="36"/>
        </w:rPr>
        <w:br/>
      </w:r>
      <w:r w:rsidR="00A441E8">
        <w:rPr>
          <w:sz w:val="36"/>
          <w:szCs w:val="36"/>
        </w:rPr>
        <w:t>The Golden Rule</w:t>
      </w:r>
    </w:p>
    <w:p w14:paraId="58C14510" w14:textId="53521CA5" w:rsidR="00EA6079" w:rsidRPr="00DF2BF0" w:rsidRDefault="00EA6079" w:rsidP="00A070D4">
      <w:pPr>
        <w:pStyle w:val="Heading2"/>
        <w:jc w:val="both"/>
        <w:rPr>
          <w:sz w:val="20"/>
          <w:szCs w:val="20"/>
        </w:rPr>
      </w:pPr>
      <w:r w:rsidRPr="00DF2BF0">
        <w:rPr>
          <w:rFonts w:eastAsia="Calibri" w:cs="Times New Roman"/>
          <w:b w:val="0"/>
          <w:color w:val="auto"/>
          <w:sz w:val="20"/>
          <w:szCs w:val="20"/>
        </w:rPr>
        <w:t xml:space="preserve">The point of the </w:t>
      </w:r>
      <w:r w:rsidR="00FF2B25" w:rsidRPr="00DF2BF0">
        <w:rPr>
          <w:rFonts w:eastAsia="Calibri" w:cs="Times New Roman"/>
          <w:b w:val="0"/>
          <w:color w:val="auto"/>
          <w:sz w:val="20"/>
          <w:szCs w:val="20"/>
        </w:rPr>
        <w:t xml:space="preserve">deal in the negotiation of </w:t>
      </w:r>
      <w:r w:rsidRPr="00DF2BF0">
        <w:rPr>
          <w:rFonts w:eastAsia="Calibri" w:cs="Times New Roman"/>
          <w:b w:val="0"/>
          <w:color w:val="auto"/>
          <w:sz w:val="20"/>
          <w:szCs w:val="20"/>
        </w:rPr>
        <w:t>subcontracts or grants is to accomplish a development objective.</w:t>
      </w:r>
      <w:r w:rsidR="0045787C">
        <w:rPr>
          <w:rFonts w:eastAsia="Calibri" w:cs="Times New Roman"/>
          <w:b w:val="0"/>
          <w:color w:val="auto"/>
          <w:sz w:val="20"/>
          <w:szCs w:val="20"/>
        </w:rPr>
        <w:t xml:space="preserve"> </w:t>
      </w:r>
      <w:r w:rsidR="00E6205B" w:rsidRPr="00DF2BF0">
        <w:rPr>
          <w:rFonts w:eastAsia="Calibri" w:cs="Times New Roman"/>
          <w:b w:val="0"/>
          <w:color w:val="auto"/>
          <w:sz w:val="20"/>
          <w:szCs w:val="20"/>
        </w:rPr>
        <w:t>We award</w:t>
      </w:r>
      <w:r w:rsidRPr="00DF2BF0">
        <w:rPr>
          <w:rFonts w:eastAsia="Calibri" w:cs="Times New Roman"/>
          <w:b w:val="0"/>
          <w:color w:val="auto"/>
          <w:sz w:val="20"/>
          <w:szCs w:val="20"/>
        </w:rPr>
        <w:t xml:space="preserve"> to the </w:t>
      </w:r>
      <w:r w:rsidR="00FF2B25" w:rsidRPr="00DF2BF0">
        <w:rPr>
          <w:rFonts w:eastAsia="Calibri" w:cs="Times New Roman"/>
          <w:b w:val="0"/>
          <w:color w:val="auto"/>
          <w:sz w:val="20"/>
          <w:szCs w:val="20"/>
        </w:rPr>
        <w:t>entity</w:t>
      </w:r>
      <w:r w:rsidR="00A441E8">
        <w:rPr>
          <w:rFonts w:eastAsia="Calibri" w:cs="Times New Roman"/>
          <w:b w:val="0"/>
          <w:color w:val="auto"/>
          <w:sz w:val="20"/>
          <w:szCs w:val="20"/>
        </w:rPr>
        <w:t xml:space="preserve"> most likely to succeed</w:t>
      </w:r>
      <w:r w:rsidRPr="00DF2BF0">
        <w:rPr>
          <w:rFonts w:eastAsia="Calibri" w:cs="Times New Roman"/>
          <w:b w:val="0"/>
          <w:color w:val="auto"/>
          <w:sz w:val="20"/>
          <w:szCs w:val="20"/>
        </w:rPr>
        <w:t xml:space="preserve"> at a reasonable price.</w:t>
      </w:r>
      <w:r w:rsidR="0045787C">
        <w:rPr>
          <w:rFonts w:eastAsia="Calibri" w:cs="Times New Roman"/>
          <w:b w:val="0"/>
          <w:color w:val="auto"/>
          <w:sz w:val="20"/>
          <w:szCs w:val="20"/>
        </w:rPr>
        <w:t xml:space="preserve"> </w:t>
      </w:r>
      <w:r w:rsidRPr="00DF2BF0">
        <w:rPr>
          <w:rFonts w:eastAsia="Calibri" w:cs="Times New Roman"/>
          <w:b w:val="0"/>
          <w:color w:val="auto"/>
          <w:sz w:val="20"/>
          <w:szCs w:val="20"/>
        </w:rPr>
        <w:t xml:space="preserve">We need to initiate these </w:t>
      </w:r>
      <w:r w:rsidR="00A441E8">
        <w:rPr>
          <w:rFonts w:eastAsia="Calibri" w:cs="Times New Roman"/>
          <w:b w:val="0"/>
          <w:color w:val="auto"/>
          <w:sz w:val="20"/>
          <w:szCs w:val="20"/>
        </w:rPr>
        <w:t>awards</w:t>
      </w:r>
      <w:r w:rsidRPr="00DF2BF0">
        <w:rPr>
          <w:rFonts w:eastAsia="Calibri" w:cs="Times New Roman"/>
          <w:b w:val="0"/>
          <w:color w:val="auto"/>
          <w:sz w:val="20"/>
          <w:szCs w:val="20"/>
        </w:rPr>
        <w:t xml:space="preserve"> and manage them </w:t>
      </w:r>
      <w:r w:rsidR="00A441E8">
        <w:rPr>
          <w:rFonts w:eastAsia="Calibri" w:cs="Times New Roman"/>
          <w:b w:val="0"/>
          <w:color w:val="auto"/>
          <w:sz w:val="20"/>
          <w:szCs w:val="20"/>
        </w:rPr>
        <w:t>fairly</w:t>
      </w:r>
      <w:r w:rsidR="0037383A">
        <w:rPr>
          <w:rFonts w:eastAsia="Calibri" w:cs="Times New Roman"/>
          <w:b w:val="0"/>
          <w:color w:val="auto"/>
          <w:sz w:val="20"/>
          <w:szCs w:val="20"/>
        </w:rPr>
        <w:t>, equitably</w:t>
      </w:r>
      <w:r w:rsidR="0045787C">
        <w:rPr>
          <w:rFonts w:eastAsia="Calibri" w:cs="Times New Roman"/>
          <w:b w:val="0"/>
          <w:color w:val="auto"/>
          <w:sz w:val="20"/>
          <w:szCs w:val="20"/>
        </w:rPr>
        <w:t>,</w:t>
      </w:r>
      <w:r w:rsidR="00A441E8">
        <w:rPr>
          <w:rFonts w:eastAsia="Calibri" w:cs="Times New Roman"/>
          <w:b w:val="0"/>
          <w:color w:val="auto"/>
          <w:sz w:val="20"/>
          <w:szCs w:val="20"/>
        </w:rPr>
        <w:t xml:space="preserve"> and transparently to maintain a co</w:t>
      </w:r>
      <w:r w:rsidR="00E6205B">
        <w:rPr>
          <w:rFonts w:eastAsia="Calibri" w:cs="Times New Roman"/>
          <w:b w:val="0"/>
          <w:color w:val="auto"/>
          <w:sz w:val="20"/>
          <w:szCs w:val="20"/>
        </w:rPr>
        <w:t>ns</w:t>
      </w:r>
      <w:r w:rsidR="0045787C">
        <w:rPr>
          <w:rFonts w:eastAsia="Calibri" w:cs="Times New Roman"/>
          <w:b w:val="0"/>
          <w:color w:val="auto"/>
          <w:sz w:val="20"/>
          <w:szCs w:val="20"/>
        </w:rPr>
        <w:t>tructive working relationship—</w:t>
      </w:r>
      <w:r w:rsidR="00E6205B">
        <w:rPr>
          <w:rFonts w:eastAsia="Calibri" w:cs="Times New Roman"/>
          <w:b w:val="0"/>
          <w:color w:val="auto"/>
          <w:sz w:val="20"/>
          <w:szCs w:val="20"/>
        </w:rPr>
        <w:t>as we would like to be treated.</w:t>
      </w:r>
      <w:r w:rsidR="0045787C">
        <w:rPr>
          <w:rFonts w:eastAsia="Calibri" w:cs="Times New Roman"/>
          <w:b w:val="0"/>
          <w:color w:val="auto"/>
          <w:sz w:val="20"/>
          <w:szCs w:val="20"/>
        </w:rPr>
        <w:t xml:space="preserve"> </w:t>
      </w:r>
      <w:r w:rsidR="00E6205B">
        <w:rPr>
          <w:rFonts w:eastAsia="Calibri" w:cs="Times New Roman"/>
          <w:b w:val="0"/>
          <w:color w:val="auto"/>
          <w:sz w:val="20"/>
          <w:szCs w:val="20"/>
        </w:rPr>
        <w:t>It’s the Golden Rule.</w:t>
      </w:r>
      <w:r w:rsidR="0045787C">
        <w:rPr>
          <w:rFonts w:eastAsia="Calibri" w:cs="Times New Roman"/>
          <w:b w:val="0"/>
          <w:color w:val="auto"/>
          <w:sz w:val="20"/>
          <w:szCs w:val="20"/>
        </w:rPr>
        <w:t xml:space="preserve"> </w:t>
      </w:r>
      <w:r w:rsidR="00350E2A">
        <w:rPr>
          <w:rFonts w:eastAsia="Calibri" w:cs="Times New Roman"/>
          <w:b w:val="0"/>
          <w:color w:val="auto"/>
          <w:sz w:val="20"/>
          <w:szCs w:val="20"/>
        </w:rPr>
        <w:t>We a</w:t>
      </w:r>
      <w:r w:rsidR="00A441E8">
        <w:rPr>
          <w:rFonts w:eastAsia="Calibri" w:cs="Times New Roman"/>
          <w:b w:val="0"/>
          <w:color w:val="auto"/>
          <w:sz w:val="20"/>
          <w:szCs w:val="20"/>
        </w:rPr>
        <w:t>re partners because we</w:t>
      </w:r>
      <w:r w:rsidR="00350E2A">
        <w:rPr>
          <w:rFonts w:eastAsia="Calibri" w:cs="Times New Roman"/>
          <w:b w:val="0"/>
          <w:color w:val="auto"/>
          <w:sz w:val="20"/>
          <w:szCs w:val="20"/>
        </w:rPr>
        <w:t xml:space="preserve"> a</w:t>
      </w:r>
      <w:r w:rsidR="00A441E8">
        <w:rPr>
          <w:rFonts w:eastAsia="Calibri" w:cs="Times New Roman"/>
          <w:b w:val="0"/>
          <w:color w:val="auto"/>
          <w:sz w:val="20"/>
          <w:szCs w:val="20"/>
        </w:rPr>
        <w:t>re in this together.</w:t>
      </w:r>
      <w:r w:rsidR="0045787C">
        <w:rPr>
          <w:rFonts w:eastAsia="Calibri" w:cs="Times New Roman"/>
          <w:b w:val="0"/>
          <w:color w:val="auto"/>
          <w:sz w:val="20"/>
          <w:szCs w:val="20"/>
        </w:rPr>
        <w:t xml:space="preserve"> Our partners’</w:t>
      </w:r>
      <w:r w:rsidR="00A441E8">
        <w:rPr>
          <w:rFonts w:eastAsia="Calibri" w:cs="Times New Roman"/>
          <w:b w:val="0"/>
          <w:color w:val="auto"/>
          <w:sz w:val="20"/>
          <w:szCs w:val="20"/>
        </w:rPr>
        <w:t xml:space="preserve"> success is our success.</w:t>
      </w:r>
      <w:r w:rsidR="0045787C">
        <w:rPr>
          <w:rFonts w:eastAsia="Calibri" w:cs="Times New Roman"/>
          <w:b w:val="0"/>
          <w:color w:val="auto"/>
          <w:sz w:val="20"/>
          <w:szCs w:val="20"/>
        </w:rPr>
        <w:t xml:space="preserve"> </w:t>
      </w:r>
    </w:p>
    <w:p w14:paraId="09836470" w14:textId="77777777" w:rsidR="00B96333" w:rsidRPr="00DF2BF0" w:rsidRDefault="00B96333" w:rsidP="00A070D4">
      <w:pPr>
        <w:pStyle w:val="Heading2"/>
        <w:jc w:val="both"/>
        <w:rPr>
          <w:sz w:val="24"/>
          <w:szCs w:val="24"/>
        </w:rPr>
      </w:pPr>
      <w:r w:rsidRPr="00DF2BF0">
        <w:rPr>
          <w:sz w:val="24"/>
          <w:szCs w:val="24"/>
        </w:rPr>
        <w:t>Case 1</w:t>
      </w:r>
      <w:r w:rsidR="009D6B57" w:rsidRPr="00DF2BF0">
        <w:rPr>
          <w:sz w:val="24"/>
          <w:szCs w:val="24"/>
        </w:rPr>
        <w:t xml:space="preserve"> </w:t>
      </w:r>
    </w:p>
    <w:p w14:paraId="10B0C633" w14:textId="2E9AFC24" w:rsidR="009D6B57" w:rsidRPr="00DF2BF0" w:rsidRDefault="00EA6079" w:rsidP="00A070D4">
      <w:pPr>
        <w:jc w:val="both"/>
        <w:rPr>
          <w:sz w:val="20"/>
          <w:szCs w:val="20"/>
        </w:rPr>
      </w:pPr>
      <w:r w:rsidRPr="00DF2BF0">
        <w:rPr>
          <w:sz w:val="20"/>
          <w:szCs w:val="20"/>
        </w:rPr>
        <w:t>A project operating in a country recently emerging from political strife had to quickly find new office space.</w:t>
      </w:r>
      <w:r w:rsidR="0045787C">
        <w:rPr>
          <w:sz w:val="20"/>
          <w:szCs w:val="20"/>
        </w:rPr>
        <w:t xml:space="preserve"> </w:t>
      </w:r>
      <w:r w:rsidRPr="00DF2BF0">
        <w:rPr>
          <w:sz w:val="20"/>
          <w:szCs w:val="20"/>
        </w:rPr>
        <w:t xml:space="preserve">Extensive vetting of the landlord through the donor and UN websites did not </w:t>
      </w:r>
      <w:r w:rsidR="00FF2B25" w:rsidRPr="00DF2BF0">
        <w:rPr>
          <w:sz w:val="20"/>
          <w:szCs w:val="20"/>
        </w:rPr>
        <w:t>reveal any concerns.</w:t>
      </w:r>
      <w:r w:rsidR="0045787C">
        <w:rPr>
          <w:sz w:val="20"/>
          <w:szCs w:val="20"/>
        </w:rPr>
        <w:t xml:space="preserve"> </w:t>
      </w:r>
      <w:r w:rsidR="00FF2B25" w:rsidRPr="00DF2BF0">
        <w:rPr>
          <w:sz w:val="20"/>
          <w:szCs w:val="20"/>
        </w:rPr>
        <w:t>A</w:t>
      </w:r>
      <w:r w:rsidRPr="00DF2BF0">
        <w:rPr>
          <w:sz w:val="20"/>
          <w:szCs w:val="20"/>
        </w:rPr>
        <w:t xml:space="preserve"> journalist</w:t>
      </w:r>
      <w:r w:rsidR="00FF2B25" w:rsidRPr="00DF2BF0">
        <w:rPr>
          <w:sz w:val="20"/>
          <w:szCs w:val="20"/>
        </w:rPr>
        <w:t xml:space="preserve">, however, </w:t>
      </w:r>
      <w:r w:rsidRPr="00DF2BF0">
        <w:rPr>
          <w:sz w:val="20"/>
          <w:szCs w:val="20"/>
        </w:rPr>
        <w:t xml:space="preserve">discovered and published that a number of international development </w:t>
      </w:r>
      <w:r w:rsidR="0045787C">
        <w:rPr>
          <w:sz w:val="20"/>
          <w:szCs w:val="20"/>
        </w:rPr>
        <w:t>organizations</w:t>
      </w:r>
      <w:r w:rsidRPr="00DF2BF0">
        <w:rPr>
          <w:sz w:val="20"/>
          <w:szCs w:val="20"/>
        </w:rPr>
        <w:t>, including DAI, were renting large houses as offices from known human rights violators.</w:t>
      </w:r>
      <w:r w:rsidR="0045787C">
        <w:rPr>
          <w:sz w:val="20"/>
          <w:szCs w:val="20"/>
        </w:rPr>
        <w:t xml:space="preserve"> </w:t>
      </w:r>
      <w:r w:rsidRPr="00DF2BF0">
        <w:rPr>
          <w:sz w:val="20"/>
          <w:szCs w:val="20"/>
        </w:rPr>
        <w:t>The DAI landlord was the wife of a notorious general.</w:t>
      </w:r>
    </w:p>
    <w:p w14:paraId="68B05E21" w14:textId="77777777" w:rsidR="009D6B57" w:rsidRPr="00DF2BF0" w:rsidRDefault="009D6B57" w:rsidP="00A070D4">
      <w:pPr>
        <w:pStyle w:val="Heading3"/>
        <w:jc w:val="both"/>
        <w:rPr>
          <w:sz w:val="24"/>
        </w:rPr>
      </w:pPr>
      <w:r w:rsidRPr="00DF2BF0">
        <w:rPr>
          <w:sz w:val="24"/>
        </w:rPr>
        <w:t>Appropriate Action</w:t>
      </w:r>
    </w:p>
    <w:p w14:paraId="5117FC64" w14:textId="2CF284C8" w:rsidR="00775F65" w:rsidRDefault="00EA6079" w:rsidP="00A070D4">
      <w:pPr>
        <w:jc w:val="both"/>
        <w:rPr>
          <w:sz w:val="20"/>
          <w:szCs w:val="20"/>
        </w:rPr>
      </w:pPr>
      <w:r w:rsidRPr="00DF2BF0">
        <w:rPr>
          <w:sz w:val="20"/>
          <w:szCs w:val="20"/>
        </w:rPr>
        <w:t>While international sanction</w:t>
      </w:r>
      <w:r w:rsidR="0045787C">
        <w:rPr>
          <w:sz w:val="20"/>
          <w:szCs w:val="20"/>
        </w:rPr>
        <w:t>s</w:t>
      </w:r>
      <w:r w:rsidRPr="00DF2BF0">
        <w:rPr>
          <w:sz w:val="20"/>
          <w:szCs w:val="20"/>
        </w:rPr>
        <w:t xml:space="preserve"> lists provide some degree of assurance, it is important to </w:t>
      </w:r>
      <w:r w:rsidR="0045787C">
        <w:rPr>
          <w:sz w:val="20"/>
          <w:szCs w:val="20"/>
        </w:rPr>
        <w:t>consider</w:t>
      </w:r>
      <w:r w:rsidRPr="00DF2BF0">
        <w:rPr>
          <w:sz w:val="20"/>
          <w:szCs w:val="20"/>
        </w:rPr>
        <w:t xml:space="preserve"> other sources of information in determining the eligibility of a partner.</w:t>
      </w:r>
      <w:r w:rsidR="0045787C">
        <w:rPr>
          <w:sz w:val="20"/>
          <w:szCs w:val="20"/>
        </w:rPr>
        <w:t xml:space="preserve"> </w:t>
      </w:r>
      <w:r w:rsidRPr="00DF2BF0">
        <w:rPr>
          <w:sz w:val="20"/>
          <w:szCs w:val="20"/>
        </w:rPr>
        <w:t>A Google search may have helped make the connection with the known human rights violator</w:t>
      </w:r>
      <w:r w:rsidR="0045787C">
        <w:rPr>
          <w:sz w:val="20"/>
          <w:szCs w:val="20"/>
        </w:rPr>
        <w:t>;</w:t>
      </w:r>
      <w:r w:rsidRPr="00DF2BF0">
        <w:rPr>
          <w:sz w:val="20"/>
          <w:szCs w:val="20"/>
        </w:rPr>
        <w:t xml:space="preserve"> sometimes</w:t>
      </w:r>
      <w:r w:rsidR="0045787C">
        <w:rPr>
          <w:sz w:val="20"/>
          <w:szCs w:val="20"/>
        </w:rPr>
        <w:t>,</w:t>
      </w:r>
      <w:r w:rsidRPr="00DF2BF0">
        <w:rPr>
          <w:sz w:val="20"/>
          <w:szCs w:val="20"/>
        </w:rPr>
        <w:t xml:space="preserve"> simply talking to </w:t>
      </w:r>
      <w:r w:rsidR="0045787C">
        <w:rPr>
          <w:sz w:val="20"/>
          <w:szCs w:val="20"/>
        </w:rPr>
        <w:t>people wh</w:t>
      </w:r>
      <w:r w:rsidRPr="00DF2BF0">
        <w:rPr>
          <w:sz w:val="20"/>
          <w:szCs w:val="20"/>
        </w:rPr>
        <w:t>o are familiar with an organization, a firm</w:t>
      </w:r>
      <w:r w:rsidR="0045787C">
        <w:rPr>
          <w:sz w:val="20"/>
          <w:szCs w:val="20"/>
        </w:rPr>
        <w:t>,</w:t>
      </w:r>
      <w:r w:rsidRPr="00DF2BF0">
        <w:rPr>
          <w:sz w:val="20"/>
          <w:szCs w:val="20"/>
        </w:rPr>
        <w:t xml:space="preserve"> or a beneficiary will provide important information and context. Casting the due diligence </w:t>
      </w:r>
      <w:r w:rsidR="00B5456F">
        <w:rPr>
          <w:sz w:val="20"/>
          <w:szCs w:val="20"/>
        </w:rPr>
        <w:t xml:space="preserve">net </w:t>
      </w:r>
      <w:r w:rsidRPr="00DF2BF0">
        <w:rPr>
          <w:sz w:val="20"/>
          <w:szCs w:val="20"/>
        </w:rPr>
        <w:t>more broadly would have saved us time, money, disruption</w:t>
      </w:r>
      <w:r w:rsidR="0045787C">
        <w:rPr>
          <w:sz w:val="20"/>
          <w:szCs w:val="20"/>
        </w:rPr>
        <w:t>,</w:t>
      </w:r>
      <w:r w:rsidRPr="00DF2BF0">
        <w:rPr>
          <w:sz w:val="20"/>
          <w:szCs w:val="20"/>
        </w:rPr>
        <w:t xml:space="preserve"> and the reputational hit</w:t>
      </w:r>
      <w:r w:rsidR="009D6B57" w:rsidRPr="00DF2BF0">
        <w:rPr>
          <w:sz w:val="20"/>
          <w:szCs w:val="20"/>
        </w:rPr>
        <w:t>.</w:t>
      </w:r>
    </w:p>
    <w:p w14:paraId="203A7174" w14:textId="77777777" w:rsidR="00DF2BF0" w:rsidRPr="00DF2BF0" w:rsidRDefault="00DF2BF0" w:rsidP="00A070D4">
      <w:pPr>
        <w:pStyle w:val="Heading2"/>
        <w:jc w:val="both"/>
        <w:rPr>
          <w:sz w:val="24"/>
          <w:szCs w:val="24"/>
        </w:rPr>
      </w:pPr>
      <w:r w:rsidRPr="00DF2BF0">
        <w:rPr>
          <w:sz w:val="24"/>
          <w:szCs w:val="24"/>
        </w:rPr>
        <w:t>Case 2</w:t>
      </w:r>
    </w:p>
    <w:p w14:paraId="7D1F42E8" w14:textId="33C6A13A" w:rsidR="00DF2BF0" w:rsidRPr="00DF2BF0" w:rsidRDefault="00D53BEE" w:rsidP="00A070D4">
      <w:pPr>
        <w:pStyle w:val="Heading3"/>
        <w:spacing w:before="0"/>
        <w:jc w:val="both"/>
        <w:rPr>
          <w:rFonts w:eastAsia="Calibri" w:cs="Times New Roman"/>
          <w:b w:val="0"/>
          <w:i w:val="0"/>
          <w:color w:val="auto"/>
          <w:sz w:val="20"/>
          <w:szCs w:val="20"/>
        </w:rPr>
      </w:pPr>
      <w:r>
        <w:rPr>
          <w:rFonts w:eastAsia="Calibri" w:cs="Times New Roman"/>
          <w:b w:val="0"/>
          <w:i w:val="0"/>
          <w:color w:val="auto"/>
          <w:sz w:val="20"/>
          <w:szCs w:val="20"/>
        </w:rPr>
        <w:t>The donor directed DAI to award a large grant to a key entity in the agricultural sector</w:t>
      </w:r>
      <w:r w:rsidR="004902DB">
        <w:rPr>
          <w:rFonts w:eastAsia="Calibri" w:cs="Times New Roman"/>
          <w:b w:val="0"/>
          <w:i w:val="0"/>
          <w:color w:val="auto"/>
          <w:sz w:val="20"/>
          <w:szCs w:val="20"/>
        </w:rPr>
        <w:t>, with the aim of s</w:t>
      </w:r>
      <w:r>
        <w:rPr>
          <w:rFonts w:eastAsia="Calibri" w:cs="Times New Roman"/>
          <w:b w:val="0"/>
          <w:i w:val="0"/>
          <w:color w:val="auto"/>
          <w:sz w:val="20"/>
          <w:szCs w:val="20"/>
        </w:rPr>
        <w:t>trengthen</w:t>
      </w:r>
      <w:r w:rsidR="004902DB">
        <w:rPr>
          <w:rFonts w:eastAsia="Calibri" w:cs="Times New Roman"/>
          <w:b w:val="0"/>
          <w:i w:val="0"/>
          <w:color w:val="auto"/>
          <w:sz w:val="20"/>
          <w:szCs w:val="20"/>
        </w:rPr>
        <w:t>ing</w:t>
      </w:r>
      <w:r>
        <w:rPr>
          <w:rFonts w:eastAsia="Calibri" w:cs="Times New Roman"/>
          <w:b w:val="0"/>
          <w:i w:val="0"/>
          <w:color w:val="auto"/>
          <w:sz w:val="20"/>
          <w:szCs w:val="20"/>
        </w:rPr>
        <w:t xml:space="preserve"> </w:t>
      </w:r>
      <w:r w:rsidR="004902DB">
        <w:rPr>
          <w:rFonts w:eastAsia="Calibri" w:cs="Times New Roman"/>
          <w:b w:val="0"/>
          <w:i w:val="0"/>
          <w:color w:val="auto"/>
          <w:sz w:val="20"/>
          <w:szCs w:val="20"/>
        </w:rPr>
        <w:t>this entity</w:t>
      </w:r>
      <w:r>
        <w:rPr>
          <w:rFonts w:eastAsia="Calibri" w:cs="Times New Roman"/>
          <w:b w:val="0"/>
          <w:i w:val="0"/>
          <w:color w:val="auto"/>
          <w:sz w:val="20"/>
          <w:szCs w:val="20"/>
        </w:rPr>
        <w:t xml:space="preserve"> </w:t>
      </w:r>
      <w:r w:rsidR="004902DB">
        <w:rPr>
          <w:rFonts w:eastAsia="Calibri" w:cs="Times New Roman"/>
          <w:b w:val="0"/>
          <w:i w:val="0"/>
          <w:color w:val="auto"/>
          <w:sz w:val="20"/>
          <w:szCs w:val="20"/>
        </w:rPr>
        <w:t>to the point where it could</w:t>
      </w:r>
      <w:r>
        <w:rPr>
          <w:rFonts w:eastAsia="Calibri" w:cs="Times New Roman"/>
          <w:b w:val="0"/>
          <w:i w:val="0"/>
          <w:color w:val="auto"/>
          <w:sz w:val="20"/>
          <w:szCs w:val="20"/>
        </w:rPr>
        <w:t xml:space="preserve"> take over the project at the end</w:t>
      </w:r>
      <w:r w:rsidR="004902DB">
        <w:rPr>
          <w:rFonts w:eastAsia="Calibri" w:cs="Times New Roman"/>
          <w:b w:val="0"/>
          <w:i w:val="0"/>
          <w:color w:val="auto"/>
          <w:sz w:val="20"/>
          <w:szCs w:val="20"/>
        </w:rPr>
        <w:t xml:space="preserve"> of the funding period</w:t>
      </w:r>
      <w:r>
        <w:rPr>
          <w:rFonts w:eastAsia="Calibri" w:cs="Times New Roman"/>
          <w:b w:val="0"/>
          <w:i w:val="0"/>
          <w:color w:val="auto"/>
          <w:sz w:val="20"/>
          <w:szCs w:val="20"/>
        </w:rPr>
        <w:t>. T</w:t>
      </w:r>
      <w:r w:rsidR="00DF2BF0" w:rsidRPr="00DF2BF0">
        <w:rPr>
          <w:rFonts w:eastAsia="Calibri" w:cs="Times New Roman"/>
          <w:b w:val="0"/>
          <w:i w:val="0"/>
          <w:color w:val="auto"/>
          <w:sz w:val="20"/>
          <w:szCs w:val="20"/>
        </w:rPr>
        <w:t>he grantee’s sense of entitlement</w:t>
      </w:r>
      <w:r w:rsidR="004902DB">
        <w:rPr>
          <w:rFonts w:eastAsia="Calibri" w:cs="Times New Roman"/>
          <w:b w:val="0"/>
          <w:i w:val="0"/>
          <w:color w:val="auto"/>
          <w:sz w:val="20"/>
          <w:szCs w:val="20"/>
        </w:rPr>
        <w:t>—</w:t>
      </w:r>
      <w:r w:rsidR="00DF2BF0" w:rsidRPr="00DF2BF0">
        <w:rPr>
          <w:rFonts w:eastAsia="Calibri" w:cs="Times New Roman"/>
          <w:b w:val="0"/>
          <w:i w:val="0"/>
          <w:color w:val="auto"/>
          <w:sz w:val="20"/>
          <w:szCs w:val="20"/>
        </w:rPr>
        <w:t xml:space="preserve">coupled with </w:t>
      </w:r>
      <w:r>
        <w:rPr>
          <w:rFonts w:eastAsia="Calibri" w:cs="Times New Roman"/>
          <w:b w:val="0"/>
          <w:i w:val="0"/>
          <w:color w:val="auto"/>
          <w:sz w:val="20"/>
          <w:szCs w:val="20"/>
        </w:rPr>
        <w:t xml:space="preserve">grant </w:t>
      </w:r>
      <w:r w:rsidR="00DF2BF0" w:rsidRPr="00DF2BF0">
        <w:rPr>
          <w:rFonts w:eastAsia="Calibri" w:cs="Times New Roman"/>
          <w:b w:val="0"/>
          <w:i w:val="0"/>
          <w:color w:val="auto"/>
          <w:sz w:val="20"/>
          <w:szCs w:val="20"/>
        </w:rPr>
        <w:t xml:space="preserve">requirements beyond </w:t>
      </w:r>
      <w:r w:rsidR="004902DB">
        <w:rPr>
          <w:rFonts w:eastAsia="Calibri" w:cs="Times New Roman"/>
          <w:b w:val="0"/>
          <w:i w:val="0"/>
          <w:color w:val="auto"/>
          <w:sz w:val="20"/>
          <w:szCs w:val="20"/>
        </w:rPr>
        <w:t>its</w:t>
      </w:r>
      <w:r w:rsidR="00DF2BF0" w:rsidRPr="00DF2BF0">
        <w:rPr>
          <w:rFonts w:eastAsia="Calibri" w:cs="Times New Roman"/>
          <w:b w:val="0"/>
          <w:i w:val="0"/>
          <w:color w:val="auto"/>
          <w:sz w:val="20"/>
          <w:szCs w:val="20"/>
        </w:rPr>
        <w:t xml:space="preserve"> administrative capacity</w:t>
      </w:r>
      <w:r w:rsidR="004902DB">
        <w:rPr>
          <w:rFonts w:eastAsia="Calibri" w:cs="Times New Roman"/>
          <w:b w:val="0"/>
          <w:i w:val="0"/>
          <w:color w:val="auto"/>
          <w:sz w:val="20"/>
          <w:szCs w:val="20"/>
        </w:rPr>
        <w:t>—</w:t>
      </w:r>
      <w:r w:rsidR="00DF2BF0" w:rsidRPr="00DF2BF0">
        <w:rPr>
          <w:rFonts w:eastAsia="Calibri" w:cs="Times New Roman"/>
          <w:b w:val="0"/>
          <w:i w:val="0"/>
          <w:color w:val="auto"/>
          <w:sz w:val="20"/>
          <w:szCs w:val="20"/>
        </w:rPr>
        <w:t xml:space="preserve">led to contention </w:t>
      </w:r>
      <w:r w:rsidR="004902DB">
        <w:rPr>
          <w:rFonts w:eastAsia="Calibri" w:cs="Times New Roman"/>
          <w:b w:val="0"/>
          <w:i w:val="0"/>
          <w:color w:val="auto"/>
          <w:sz w:val="20"/>
          <w:szCs w:val="20"/>
        </w:rPr>
        <w:t xml:space="preserve">with </w:t>
      </w:r>
      <w:r w:rsidR="00DF2BF0" w:rsidRPr="00DF2BF0">
        <w:rPr>
          <w:rFonts w:eastAsia="Calibri" w:cs="Times New Roman"/>
          <w:b w:val="0"/>
          <w:i w:val="0"/>
          <w:color w:val="auto"/>
          <w:sz w:val="20"/>
          <w:szCs w:val="20"/>
        </w:rPr>
        <w:t>DAI</w:t>
      </w:r>
      <w:r w:rsidR="004902DB">
        <w:rPr>
          <w:rFonts w:eastAsia="Calibri" w:cs="Times New Roman"/>
          <w:b w:val="0"/>
          <w:i w:val="0"/>
          <w:color w:val="auto"/>
          <w:sz w:val="20"/>
          <w:szCs w:val="20"/>
        </w:rPr>
        <w:t>,</w:t>
      </w:r>
      <w:r w:rsidR="00DF2BF0" w:rsidRPr="00DF2BF0">
        <w:rPr>
          <w:rFonts w:eastAsia="Calibri" w:cs="Times New Roman"/>
          <w:b w:val="0"/>
          <w:i w:val="0"/>
          <w:color w:val="auto"/>
          <w:sz w:val="20"/>
          <w:szCs w:val="20"/>
        </w:rPr>
        <w:t xml:space="preserve"> distracting from the overall grant objectives and making both parties highly vulnerable to compliance-related disallowances.</w:t>
      </w:r>
    </w:p>
    <w:p w14:paraId="3C0852F2" w14:textId="77777777" w:rsidR="009B21E8" w:rsidRPr="00DF2BF0" w:rsidRDefault="009B21E8" w:rsidP="009B21E8">
      <w:pPr>
        <w:pStyle w:val="Heading3"/>
        <w:jc w:val="both"/>
        <w:rPr>
          <w:sz w:val="24"/>
        </w:rPr>
      </w:pPr>
      <w:r w:rsidRPr="00DF2BF0">
        <w:rPr>
          <w:sz w:val="24"/>
        </w:rPr>
        <w:t>Appropriate Action</w:t>
      </w:r>
    </w:p>
    <w:p w14:paraId="2243A7E2" w14:textId="0448FAB5" w:rsidR="00DF2BF0" w:rsidRDefault="009B21E8" w:rsidP="00A070D4">
      <w:pPr>
        <w:jc w:val="both"/>
      </w:pPr>
      <w:r w:rsidRPr="00DF2BF0">
        <w:rPr>
          <w:sz w:val="20"/>
          <w:szCs w:val="20"/>
        </w:rPr>
        <w:t>The due diligence process</w:t>
      </w:r>
      <w:r>
        <w:rPr>
          <w:sz w:val="20"/>
          <w:szCs w:val="20"/>
        </w:rPr>
        <w:t xml:space="preserve"> </w:t>
      </w:r>
      <w:r w:rsidR="004902DB">
        <w:rPr>
          <w:sz w:val="20"/>
          <w:szCs w:val="20"/>
        </w:rPr>
        <w:t>helps to assure</w:t>
      </w:r>
      <w:r>
        <w:rPr>
          <w:sz w:val="20"/>
          <w:szCs w:val="20"/>
        </w:rPr>
        <w:t xml:space="preserve"> success and manages everyone’s expectations, including the donor’s</w:t>
      </w:r>
      <w:r w:rsidR="004902DB">
        <w:rPr>
          <w:sz w:val="20"/>
          <w:szCs w:val="20"/>
        </w:rPr>
        <w:t>. Donors, it should be remembered,</w:t>
      </w:r>
      <w:r>
        <w:rPr>
          <w:sz w:val="20"/>
          <w:szCs w:val="20"/>
        </w:rPr>
        <w:t xml:space="preserve"> may not be aware of constraints when directing award</w:t>
      </w:r>
      <w:r w:rsidR="004902DB">
        <w:rPr>
          <w:sz w:val="20"/>
          <w:szCs w:val="20"/>
        </w:rPr>
        <w:t>s</w:t>
      </w:r>
      <w:r>
        <w:rPr>
          <w:sz w:val="20"/>
          <w:szCs w:val="20"/>
        </w:rPr>
        <w:t>.</w:t>
      </w:r>
      <w:r w:rsidR="0045787C">
        <w:rPr>
          <w:sz w:val="20"/>
          <w:szCs w:val="20"/>
        </w:rPr>
        <w:t xml:space="preserve"> </w:t>
      </w:r>
      <w:r>
        <w:rPr>
          <w:sz w:val="20"/>
          <w:szCs w:val="20"/>
        </w:rPr>
        <w:t>Organizational assessments</w:t>
      </w:r>
      <w:r w:rsidRPr="00DF2BF0">
        <w:rPr>
          <w:sz w:val="20"/>
          <w:szCs w:val="20"/>
        </w:rPr>
        <w:t xml:space="preserve"> should be</w:t>
      </w:r>
      <w:r>
        <w:rPr>
          <w:sz w:val="20"/>
          <w:szCs w:val="20"/>
        </w:rPr>
        <w:t xml:space="preserve"> conducted </w:t>
      </w:r>
      <w:r w:rsidRPr="00201A78">
        <w:rPr>
          <w:i/>
          <w:sz w:val="20"/>
          <w:szCs w:val="20"/>
        </w:rPr>
        <w:t>with</w:t>
      </w:r>
      <w:r>
        <w:rPr>
          <w:sz w:val="20"/>
          <w:szCs w:val="20"/>
        </w:rPr>
        <w:t xml:space="preserve"> the grantee to design appropriate award terms, </w:t>
      </w:r>
      <w:r w:rsidRPr="00DF2BF0">
        <w:rPr>
          <w:sz w:val="20"/>
          <w:szCs w:val="20"/>
        </w:rPr>
        <w:t>identify areas for improvement</w:t>
      </w:r>
      <w:r w:rsidR="004902DB">
        <w:rPr>
          <w:sz w:val="20"/>
          <w:szCs w:val="20"/>
        </w:rPr>
        <w:t>,</w:t>
      </w:r>
      <w:r w:rsidRPr="00DF2BF0">
        <w:rPr>
          <w:sz w:val="20"/>
          <w:szCs w:val="20"/>
        </w:rPr>
        <w:t xml:space="preserve"> and deepen a constructive working relationship.</w:t>
      </w:r>
      <w:r w:rsidR="0045787C">
        <w:rPr>
          <w:sz w:val="20"/>
          <w:szCs w:val="20"/>
        </w:rPr>
        <w:t xml:space="preserve"> </w:t>
      </w:r>
      <w:r w:rsidR="004902DB">
        <w:rPr>
          <w:sz w:val="20"/>
          <w:szCs w:val="20"/>
        </w:rPr>
        <w:t xml:space="preserve">The trust </w:t>
      </w:r>
      <w:r w:rsidRPr="00DF2BF0">
        <w:rPr>
          <w:sz w:val="20"/>
          <w:szCs w:val="20"/>
        </w:rPr>
        <w:t xml:space="preserve">developed through this process will be important in </w:t>
      </w:r>
      <w:r>
        <w:rPr>
          <w:sz w:val="20"/>
          <w:szCs w:val="20"/>
        </w:rPr>
        <w:t xml:space="preserve">anticipating and </w:t>
      </w:r>
      <w:r w:rsidRPr="00DF2BF0">
        <w:rPr>
          <w:sz w:val="20"/>
          <w:szCs w:val="20"/>
        </w:rPr>
        <w:t>addressing management and com</w:t>
      </w:r>
      <w:r>
        <w:rPr>
          <w:sz w:val="20"/>
          <w:szCs w:val="20"/>
        </w:rPr>
        <w:t>pliance issues.</w:t>
      </w:r>
      <w:r w:rsidR="0045787C">
        <w:rPr>
          <w:sz w:val="20"/>
          <w:szCs w:val="20"/>
        </w:rPr>
        <w:t xml:space="preserve"> </w:t>
      </w:r>
    </w:p>
    <w:p w14:paraId="3BB43832" w14:textId="77777777" w:rsidR="000555B0" w:rsidRDefault="000555B0" w:rsidP="009B21E8">
      <w:pPr>
        <w:pStyle w:val="TextBox1Title"/>
        <w:jc w:val="center"/>
        <w:rPr>
          <w:sz w:val="24"/>
          <w:szCs w:val="24"/>
        </w:rPr>
        <w:sectPr w:rsidR="000555B0" w:rsidSect="005C3B06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2240" w:h="15840" w:code="1"/>
          <w:pgMar w:top="1985" w:right="720" w:bottom="720" w:left="720" w:header="1152" w:footer="288" w:gutter="0"/>
          <w:cols w:num="2" w:space="28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</w:tblGrid>
      <w:tr w:rsidR="00C012D0" w:rsidRPr="00C012D0" w14:paraId="577E259E" w14:textId="77777777" w:rsidTr="000555B0">
        <w:tc>
          <w:tcPr>
            <w:tcW w:w="5130" w:type="dxa"/>
            <w:shd w:val="clear" w:color="auto" w:fill="2B5A85"/>
          </w:tcPr>
          <w:p w14:paraId="188C3FF4" w14:textId="6F3ABEBC" w:rsidR="00C012D0" w:rsidRPr="009B21E8" w:rsidRDefault="00FF2B25" w:rsidP="009B21E8">
            <w:pPr>
              <w:pStyle w:val="TextBox1Title"/>
              <w:jc w:val="center"/>
              <w:rPr>
                <w:sz w:val="24"/>
                <w:szCs w:val="24"/>
              </w:rPr>
            </w:pPr>
            <w:r w:rsidRPr="009B21E8">
              <w:rPr>
                <w:sz w:val="24"/>
                <w:szCs w:val="24"/>
              </w:rPr>
              <w:lastRenderedPageBreak/>
              <w:t>Partner Management</w:t>
            </w:r>
            <w:r w:rsidR="009B21E8">
              <w:rPr>
                <w:sz w:val="24"/>
                <w:szCs w:val="24"/>
              </w:rPr>
              <w:t xml:space="preserve"> </w:t>
            </w:r>
            <w:r w:rsidR="00C012D0" w:rsidRPr="009B21E8">
              <w:rPr>
                <w:sz w:val="24"/>
                <w:szCs w:val="24"/>
              </w:rPr>
              <w:t>Quick Tips</w:t>
            </w:r>
          </w:p>
        </w:tc>
      </w:tr>
      <w:tr w:rsidR="00C012D0" w:rsidRPr="00C012D0" w14:paraId="3CDB0A8A" w14:textId="77777777" w:rsidTr="000555B0">
        <w:tc>
          <w:tcPr>
            <w:tcW w:w="5130" w:type="dxa"/>
            <w:tcBorders>
              <w:bottom w:val="single" w:sz="36" w:space="0" w:color="2B5A85"/>
            </w:tcBorders>
            <w:shd w:val="clear" w:color="auto" w:fill="93B9DC"/>
          </w:tcPr>
          <w:p w14:paraId="1D75FE29" w14:textId="10BDB9D3" w:rsidR="00C012D0" w:rsidRPr="00C012D0" w:rsidRDefault="003C2575" w:rsidP="009A1E1C">
            <w:pPr>
              <w:pStyle w:val="Heading3"/>
              <w:ind w:left="155" w:right="74"/>
              <w:outlineLvl w:val="2"/>
            </w:pPr>
            <w:r>
              <w:t>Pre-Selection</w:t>
            </w:r>
          </w:p>
          <w:p w14:paraId="52A4239D" w14:textId="780E228A" w:rsidR="003C2575" w:rsidRDefault="003C2575" w:rsidP="009A1E1C">
            <w:pPr>
              <w:pStyle w:val="Textbox1"/>
              <w:ind w:left="155" w:right="74"/>
            </w:pPr>
            <w:r>
              <w:t>Vetting suppliers, subcontractors, grantees</w:t>
            </w:r>
            <w:r w:rsidR="008E46CA">
              <w:t>,</w:t>
            </w:r>
            <w:r>
              <w:t xml:space="preserve"> and other partners is an important first step in assuring eligibility.</w:t>
            </w:r>
            <w:r w:rsidR="0045787C">
              <w:t xml:space="preserve"> </w:t>
            </w:r>
            <w:r>
              <w:t xml:space="preserve">In addition to international sanctions lists or other security databases, consider </w:t>
            </w:r>
            <w:r w:rsidR="008E46CA">
              <w:t>using</w:t>
            </w:r>
            <w:r>
              <w:t xml:space="preserve"> Google to identify newspaper stories and other information that may indicate reputational or compliance risks</w:t>
            </w:r>
            <w:r w:rsidRPr="00EE78F7">
              <w:t>.</w:t>
            </w:r>
            <w:r w:rsidR="0045787C">
              <w:t xml:space="preserve"> </w:t>
            </w:r>
            <w:r>
              <w:t xml:space="preserve">When additional scrutiny is required, </w:t>
            </w:r>
            <w:r w:rsidR="008E46CA">
              <w:t xml:space="preserve">the </w:t>
            </w:r>
            <w:r>
              <w:t>Genera</w:t>
            </w:r>
            <w:r w:rsidR="008E46CA">
              <w:t>l Counsel has access to a third-</w:t>
            </w:r>
            <w:r>
              <w:t>party vetting service.</w:t>
            </w:r>
          </w:p>
          <w:p w14:paraId="7DF72B21" w14:textId="69227F0D" w:rsidR="003C2575" w:rsidRDefault="003C2575" w:rsidP="009A1E1C">
            <w:pPr>
              <w:pStyle w:val="Textbox1"/>
              <w:ind w:left="155" w:right="74"/>
            </w:pPr>
            <w:r>
              <w:t xml:space="preserve">Due diligence can also be done through the Management Capacity and Assessment Tool (MCAT) to </w:t>
            </w:r>
            <w:r w:rsidR="00B0284A" w:rsidRPr="00A41563">
              <w:rPr>
                <w:u w:val="single"/>
              </w:rPr>
              <w:t xml:space="preserve">prioritize </w:t>
            </w:r>
            <w:r w:rsidR="00F26E85" w:rsidRPr="00A41563">
              <w:rPr>
                <w:u w:val="single"/>
              </w:rPr>
              <w:t>with the partner</w:t>
            </w:r>
            <w:r w:rsidR="00F26E85">
              <w:t xml:space="preserve"> governance or financial management risks.</w:t>
            </w:r>
          </w:p>
          <w:p w14:paraId="6B70F627" w14:textId="5A9B9E97" w:rsidR="000555B0" w:rsidRPr="00EE78F7" w:rsidRDefault="000555B0" w:rsidP="009A1E1C">
            <w:pPr>
              <w:pStyle w:val="Textbox1"/>
              <w:ind w:left="155" w:right="74"/>
            </w:pPr>
            <w:r>
              <w:t xml:space="preserve">Note: Although vetting is part of the </w:t>
            </w:r>
            <w:r w:rsidR="008E46CA">
              <w:t xml:space="preserve">due diligence </w:t>
            </w:r>
            <w:r>
              <w:t xml:space="preserve">process, the terms are not interchangeable. Vetting tackles the trustworthiness and suitability of a partner or individual; </w:t>
            </w:r>
            <w:r w:rsidR="008E46CA">
              <w:t xml:space="preserve">due diligence </w:t>
            </w:r>
            <w:r>
              <w:t>concentrates on evaluating financial capabilities, governance</w:t>
            </w:r>
            <w:r w:rsidR="008E46CA">
              <w:t>,</w:t>
            </w:r>
            <w:r>
              <w:t xml:space="preserve"> and ability to deliver.</w:t>
            </w:r>
          </w:p>
          <w:p w14:paraId="0E3E7CD0" w14:textId="623002F8" w:rsidR="003C2575" w:rsidRPr="00EE78F7" w:rsidRDefault="008E46CA" w:rsidP="009A1E1C">
            <w:pPr>
              <w:pStyle w:val="Heading3"/>
              <w:ind w:left="155" w:right="74"/>
              <w:outlineLvl w:val="2"/>
              <w:rPr>
                <w:szCs w:val="22"/>
              </w:rPr>
            </w:pPr>
            <w:r>
              <w:rPr>
                <w:szCs w:val="22"/>
              </w:rPr>
              <w:t>Contracting &amp; Grant-M</w:t>
            </w:r>
            <w:r w:rsidR="003C2575">
              <w:rPr>
                <w:szCs w:val="22"/>
              </w:rPr>
              <w:t>aking</w:t>
            </w:r>
          </w:p>
          <w:p w14:paraId="0E46F9BA" w14:textId="49D47741" w:rsidR="003C2575" w:rsidRDefault="003C2575" w:rsidP="009A1E1C">
            <w:pPr>
              <w:pStyle w:val="Textbox1"/>
              <w:ind w:left="155" w:right="74"/>
            </w:pPr>
            <w:r>
              <w:t>The language in the contract or grant agreement sets expectations and provides a means of enforcement.</w:t>
            </w:r>
            <w:r w:rsidR="0045787C">
              <w:t xml:space="preserve"> </w:t>
            </w:r>
            <w:r>
              <w:t xml:space="preserve">Use up-to-date templates to ensure compliance with donor flow-down </w:t>
            </w:r>
            <w:r w:rsidR="00F26E85">
              <w:t xml:space="preserve">requirements as well as effective specifications </w:t>
            </w:r>
            <w:r>
              <w:t>to manage issues under the contract.</w:t>
            </w:r>
            <w:r w:rsidR="0045787C">
              <w:t xml:space="preserve"> </w:t>
            </w:r>
            <w:r>
              <w:t>Clear and complete statements of work/terms of re</w:t>
            </w:r>
            <w:r w:rsidR="00B0284A">
              <w:t>ference are essential to hold</w:t>
            </w:r>
            <w:r>
              <w:t xml:space="preserve"> a partner accountable. Contract managers most often point to deficiencies in contract language and work specifications as primary reasons for performance failure and cost issues.</w:t>
            </w:r>
            <w:r w:rsidR="00A41563">
              <w:t xml:space="preserve"> And a constructive working relationship is necessary to manage them.</w:t>
            </w:r>
          </w:p>
          <w:p w14:paraId="53E716F5" w14:textId="77777777" w:rsidR="003C2575" w:rsidRPr="00EE78F7" w:rsidRDefault="003C2575" w:rsidP="009A1E1C">
            <w:pPr>
              <w:pStyle w:val="Heading3"/>
              <w:ind w:left="155" w:right="74"/>
              <w:outlineLvl w:val="2"/>
              <w:rPr>
                <w:szCs w:val="22"/>
              </w:rPr>
            </w:pPr>
            <w:r>
              <w:rPr>
                <w:szCs w:val="22"/>
              </w:rPr>
              <w:t>Implementation</w:t>
            </w:r>
          </w:p>
          <w:p w14:paraId="63688C4B" w14:textId="6C061F97" w:rsidR="005862E3" w:rsidRPr="003C2575" w:rsidRDefault="003C2575" w:rsidP="00AA37BD">
            <w:pPr>
              <w:pStyle w:val="Textbox1"/>
              <w:ind w:left="155" w:right="74"/>
            </w:pPr>
            <w:r>
              <w:rPr>
                <w:szCs w:val="20"/>
              </w:rPr>
              <w:t xml:space="preserve">To effectively manage risk, </w:t>
            </w:r>
            <w:r w:rsidR="008E46CA">
              <w:rPr>
                <w:szCs w:val="20"/>
              </w:rPr>
              <w:t xml:space="preserve">it is essential to provide </w:t>
            </w:r>
            <w:r>
              <w:rPr>
                <w:szCs w:val="20"/>
              </w:rPr>
              <w:t>monitoring and support in areas where su</w:t>
            </w:r>
            <w:r w:rsidR="008E46CA">
              <w:rPr>
                <w:szCs w:val="20"/>
              </w:rPr>
              <w:t>bs exhibit weakness</w:t>
            </w:r>
            <w:r>
              <w:rPr>
                <w:szCs w:val="20"/>
              </w:rPr>
              <w:t>.</w:t>
            </w:r>
            <w:r w:rsidR="0045787C">
              <w:rPr>
                <w:szCs w:val="20"/>
              </w:rPr>
              <w:t xml:space="preserve"> </w:t>
            </w:r>
            <w:r w:rsidR="00A41563">
              <w:rPr>
                <w:szCs w:val="20"/>
              </w:rPr>
              <w:t>They will always need support to strengthen their capabilities and achi</w:t>
            </w:r>
            <w:r w:rsidR="00CF02B0">
              <w:rPr>
                <w:szCs w:val="20"/>
              </w:rPr>
              <w:t xml:space="preserve">eve our development objectives. </w:t>
            </w:r>
            <w:r w:rsidR="00A41563">
              <w:rPr>
                <w:szCs w:val="20"/>
              </w:rPr>
              <w:t xml:space="preserve">Constructive engagement is </w:t>
            </w:r>
            <w:r w:rsidR="00AA37BD">
              <w:rPr>
                <w:szCs w:val="20"/>
              </w:rPr>
              <w:t>crucial</w:t>
            </w:r>
            <w:r w:rsidR="00C17E70">
              <w:rPr>
                <w:szCs w:val="20"/>
              </w:rPr>
              <w:t>.</w:t>
            </w:r>
            <w:r w:rsidR="0045787C">
              <w:rPr>
                <w:szCs w:val="20"/>
              </w:rPr>
              <w:t xml:space="preserve"> </w:t>
            </w:r>
            <w:r w:rsidR="00C17E70">
              <w:rPr>
                <w:szCs w:val="20"/>
              </w:rPr>
              <w:t xml:space="preserve">If </w:t>
            </w:r>
            <w:r w:rsidR="008E46CA">
              <w:rPr>
                <w:szCs w:val="20"/>
              </w:rPr>
              <w:t xml:space="preserve">problems persist, and the partner </w:t>
            </w:r>
            <w:r w:rsidR="00AA37BD">
              <w:rPr>
                <w:szCs w:val="20"/>
              </w:rPr>
              <w:t>is essential</w:t>
            </w:r>
            <w:r w:rsidR="00C97F8E">
              <w:rPr>
                <w:szCs w:val="20"/>
              </w:rPr>
              <w:t xml:space="preserve"> for project</w:t>
            </w:r>
            <w:r w:rsidR="00C17E70">
              <w:rPr>
                <w:szCs w:val="20"/>
              </w:rPr>
              <w:t xml:space="preserve"> delivery, it may be necessary to share concerns with the client.</w:t>
            </w:r>
          </w:p>
        </w:tc>
      </w:tr>
    </w:tbl>
    <w:p w14:paraId="3A301C30" w14:textId="42FF052A" w:rsidR="00B643B8" w:rsidRDefault="00B643B8" w:rsidP="00A070D4">
      <w:pPr>
        <w:jc w:val="both"/>
      </w:pPr>
    </w:p>
    <w:p w14:paraId="62B61EEC" w14:textId="77777777" w:rsidR="006F73A2" w:rsidRPr="00DF2BF0" w:rsidRDefault="00527849" w:rsidP="00A070D4">
      <w:pPr>
        <w:pStyle w:val="Heading2"/>
        <w:jc w:val="both"/>
        <w:rPr>
          <w:sz w:val="24"/>
          <w:szCs w:val="24"/>
        </w:rPr>
      </w:pPr>
      <w:r>
        <w:br w:type="column"/>
      </w:r>
      <w:r w:rsidR="006F73A2" w:rsidRPr="00DF2BF0">
        <w:rPr>
          <w:sz w:val="24"/>
          <w:szCs w:val="24"/>
        </w:rPr>
        <w:t>Case 3</w:t>
      </w:r>
    </w:p>
    <w:p w14:paraId="7FCD3A7E" w14:textId="555E52D0" w:rsidR="006F73A2" w:rsidRPr="00DF2BF0" w:rsidRDefault="006F73A2" w:rsidP="00A070D4">
      <w:pPr>
        <w:jc w:val="both"/>
        <w:rPr>
          <w:sz w:val="20"/>
          <w:szCs w:val="20"/>
        </w:rPr>
      </w:pPr>
      <w:r w:rsidRPr="00DF2BF0">
        <w:rPr>
          <w:sz w:val="20"/>
          <w:szCs w:val="20"/>
        </w:rPr>
        <w:t xml:space="preserve">A subcontractor employee </w:t>
      </w:r>
      <w:r w:rsidR="008E46CA">
        <w:rPr>
          <w:sz w:val="20"/>
          <w:szCs w:val="20"/>
        </w:rPr>
        <w:t xml:space="preserve">complained through the </w:t>
      </w:r>
      <w:r w:rsidRPr="00DF2BF0">
        <w:rPr>
          <w:sz w:val="20"/>
          <w:szCs w:val="20"/>
        </w:rPr>
        <w:t>ethics hotline that he was not being paid.</w:t>
      </w:r>
      <w:r w:rsidR="0045787C">
        <w:rPr>
          <w:sz w:val="20"/>
          <w:szCs w:val="20"/>
        </w:rPr>
        <w:t xml:space="preserve"> </w:t>
      </w:r>
      <w:r w:rsidRPr="00DF2BF0">
        <w:rPr>
          <w:sz w:val="20"/>
          <w:szCs w:val="20"/>
        </w:rPr>
        <w:t xml:space="preserve">An investigation revealed </w:t>
      </w:r>
      <w:r w:rsidR="00BA70FD">
        <w:rPr>
          <w:sz w:val="20"/>
          <w:szCs w:val="20"/>
        </w:rPr>
        <w:t xml:space="preserve">a number of </w:t>
      </w:r>
      <w:r w:rsidRPr="00DF2BF0">
        <w:rPr>
          <w:sz w:val="20"/>
          <w:szCs w:val="20"/>
        </w:rPr>
        <w:t xml:space="preserve">irregularities </w:t>
      </w:r>
      <w:r w:rsidR="008E46CA">
        <w:rPr>
          <w:sz w:val="20"/>
          <w:szCs w:val="20"/>
        </w:rPr>
        <w:t xml:space="preserve">on the </w:t>
      </w:r>
      <w:r w:rsidRPr="00DF2BF0">
        <w:rPr>
          <w:sz w:val="20"/>
          <w:szCs w:val="20"/>
        </w:rPr>
        <w:t>subcontractor</w:t>
      </w:r>
      <w:r w:rsidR="008E46CA">
        <w:rPr>
          <w:sz w:val="20"/>
          <w:szCs w:val="20"/>
        </w:rPr>
        <w:t>’s part</w:t>
      </w:r>
      <w:r w:rsidR="00DF2BF0">
        <w:rPr>
          <w:sz w:val="20"/>
          <w:szCs w:val="20"/>
        </w:rPr>
        <w:t>.</w:t>
      </w:r>
    </w:p>
    <w:p w14:paraId="7F49F027" w14:textId="77777777" w:rsidR="006F73A2" w:rsidRPr="00DF2BF0" w:rsidRDefault="006F73A2" w:rsidP="00A070D4">
      <w:pPr>
        <w:pStyle w:val="Heading3"/>
        <w:jc w:val="both"/>
        <w:rPr>
          <w:sz w:val="24"/>
        </w:rPr>
      </w:pPr>
      <w:r w:rsidRPr="00DF2BF0">
        <w:rPr>
          <w:sz w:val="24"/>
        </w:rPr>
        <w:t>Appropriate Action</w:t>
      </w:r>
    </w:p>
    <w:p w14:paraId="528EF616" w14:textId="0039F1F5" w:rsidR="006F73A2" w:rsidRPr="00DF2BF0" w:rsidRDefault="00FF2B25" w:rsidP="00A070D4">
      <w:pPr>
        <w:jc w:val="both"/>
        <w:rPr>
          <w:sz w:val="20"/>
          <w:szCs w:val="20"/>
        </w:rPr>
      </w:pPr>
      <w:r w:rsidRPr="00DF2BF0">
        <w:rPr>
          <w:sz w:val="20"/>
          <w:szCs w:val="20"/>
        </w:rPr>
        <w:t xml:space="preserve">Following investigation, it was not deemed necessary to cancel the subcontract </w:t>
      </w:r>
      <w:r w:rsidR="008E46CA">
        <w:rPr>
          <w:sz w:val="20"/>
          <w:szCs w:val="20"/>
        </w:rPr>
        <w:t>because</w:t>
      </w:r>
      <w:r w:rsidR="006F73A2" w:rsidRPr="00DF2BF0">
        <w:rPr>
          <w:sz w:val="20"/>
          <w:szCs w:val="20"/>
        </w:rPr>
        <w:t xml:space="preserve"> DAI and the sub agreed to </w:t>
      </w:r>
      <w:r w:rsidR="003C2575" w:rsidRPr="00DF2BF0">
        <w:rPr>
          <w:sz w:val="20"/>
          <w:szCs w:val="20"/>
        </w:rPr>
        <w:t xml:space="preserve">implement </w:t>
      </w:r>
      <w:r w:rsidR="006F73A2" w:rsidRPr="00DF2BF0">
        <w:rPr>
          <w:sz w:val="20"/>
          <w:szCs w:val="20"/>
        </w:rPr>
        <w:t>a reform plan that included non-negotiable milestones</w:t>
      </w:r>
      <w:r w:rsidR="008E46CA">
        <w:rPr>
          <w:sz w:val="20"/>
          <w:szCs w:val="20"/>
        </w:rPr>
        <w:t xml:space="preserve"> such as </w:t>
      </w:r>
      <w:r w:rsidR="006F73A2" w:rsidRPr="00DF2BF0">
        <w:rPr>
          <w:sz w:val="20"/>
          <w:szCs w:val="20"/>
        </w:rPr>
        <w:t>clearer procedures, formation of an ethics committee, additional training</w:t>
      </w:r>
      <w:r w:rsidR="008E46CA">
        <w:rPr>
          <w:sz w:val="20"/>
          <w:szCs w:val="20"/>
        </w:rPr>
        <w:t>,</w:t>
      </w:r>
      <w:r w:rsidR="006F73A2" w:rsidRPr="00DF2BF0">
        <w:rPr>
          <w:sz w:val="20"/>
          <w:szCs w:val="20"/>
        </w:rPr>
        <w:t xml:space="preserve"> and reconciliation of certain financial reports.</w:t>
      </w:r>
      <w:r w:rsidR="0045787C">
        <w:rPr>
          <w:sz w:val="20"/>
          <w:szCs w:val="20"/>
        </w:rPr>
        <w:t xml:space="preserve"> </w:t>
      </w:r>
      <w:r w:rsidR="006F73A2" w:rsidRPr="00DF2BF0">
        <w:rPr>
          <w:sz w:val="20"/>
          <w:szCs w:val="20"/>
        </w:rPr>
        <w:t>The subcontractor is now back on track with more robust controls, greater transparency</w:t>
      </w:r>
      <w:r w:rsidR="008E46CA">
        <w:rPr>
          <w:sz w:val="20"/>
          <w:szCs w:val="20"/>
        </w:rPr>
        <w:t>,</w:t>
      </w:r>
      <w:r w:rsidR="006F73A2" w:rsidRPr="00DF2BF0">
        <w:rPr>
          <w:sz w:val="20"/>
          <w:szCs w:val="20"/>
        </w:rPr>
        <w:t xml:space="preserve"> and a stronger sense of business ethics, </w:t>
      </w:r>
      <w:r w:rsidR="00B06F3B">
        <w:rPr>
          <w:sz w:val="20"/>
          <w:szCs w:val="20"/>
        </w:rPr>
        <w:t>as exemplified</w:t>
      </w:r>
      <w:r w:rsidR="006F73A2" w:rsidRPr="00DF2BF0">
        <w:rPr>
          <w:sz w:val="20"/>
          <w:szCs w:val="20"/>
        </w:rPr>
        <w:t xml:space="preserve"> in </w:t>
      </w:r>
      <w:r w:rsidR="00B06F3B">
        <w:rPr>
          <w:sz w:val="20"/>
          <w:szCs w:val="20"/>
        </w:rPr>
        <w:t>its</w:t>
      </w:r>
      <w:r w:rsidR="006F73A2" w:rsidRPr="00DF2BF0">
        <w:rPr>
          <w:sz w:val="20"/>
          <w:szCs w:val="20"/>
        </w:rPr>
        <w:t xml:space="preserve"> recent report of travel frau</w:t>
      </w:r>
      <w:r w:rsidR="003C2575" w:rsidRPr="00DF2BF0">
        <w:rPr>
          <w:sz w:val="20"/>
          <w:szCs w:val="20"/>
        </w:rPr>
        <w:t xml:space="preserve">d by a field worker. </w:t>
      </w:r>
    </w:p>
    <w:p w14:paraId="518395D0" w14:textId="77777777" w:rsidR="006F73A2" w:rsidRPr="00DF2BF0" w:rsidRDefault="006F73A2" w:rsidP="00A070D4">
      <w:pPr>
        <w:pStyle w:val="Heading2"/>
        <w:jc w:val="both"/>
        <w:rPr>
          <w:sz w:val="24"/>
          <w:szCs w:val="24"/>
        </w:rPr>
      </w:pPr>
      <w:r w:rsidRPr="00DF2BF0">
        <w:rPr>
          <w:sz w:val="24"/>
          <w:szCs w:val="24"/>
        </w:rPr>
        <w:t>Case 4</w:t>
      </w:r>
    </w:p>
    <w:p w14:paraId="40173503" w14:textId="55586AFF" w:rsidR="006F73A2" w:rsidRPr="00DF2BF0" w:rsidRDefault="006F73A2" w:rsidP="00A070D4">
      <w:pPr>
        <w:keepNext/>
        <w:keepLines/>
        <w:spacing w:before="40" w:after="0"/>
        <w:jc w:val="both"/>
        <w:outlineLvl w:val="2"/>
        <w:rPr>
          <w:rFonts w:eastAsia="Times New Roman" w:cs="Arial"/>
          <w:color w:val="1F4D78"/>
          <w:sz w:val="20"/>
          <w:szCs w:val="20"/>
        </w:rPr>
      </w:pPr>
      <w:r w:rsidRPr="00DF2BF0">
        <w:rPr>
          <w:rFonts w:eastAsia="Times New Roman" w:cs="Arial"/>
          <w:sz w:val="20"/>
          <w:szCs w:val="20"/>
        </w:rPr>
        <w:t>The grant agreement to establish a credit entity included accomplishment of initial milestones, listed in the award as simply “office set-up, bank account opened</w:t>
      </w:r>
      <w:r w:rsidR="00B06F3B">
        <w:rPr>
          <w:rFonts w:eastAsia="Times New Roman" w:cs="Arial"/>
          <w:sz w:val="20"/>
          <w:szCs w:val="20"/>
        </w:rPr>
        <w:t>,</w:t>
      </w:r>
      <w:r w:rsidRPr="00DF2BF0">
        <w:rPr>
          <w:rFonts w:eastAsia="Times New Roman" w:cs="Arial"/>
          <w:sz w:val="20"/>
          <w:szCs w:val="20"/>
        </w:rPr>
        <w:t xml:space="preserve"> and employees hired.”</w:t>
      </w:r>
      <w:r w:rsidR="0045787C">
        <w:rPr>
          <w:rFonts w:eastAsia="Times New Roman" w:cs="Arial"/>
          <w:sz w:val="20"/>
          <w:szCs w:val="20"/>
        </w:rPr>
        <w:t xml:space="preserve"> </w:t>
      </w:r>
      <w:r w:rsidRPr="00DF2BF0">
        <w:rPr>
          <w:rFonts w:eastAsia="Times New Roman" w:cs="Arial"/>
          <w:sz w:val="20"/>
          <w:szCs w:val="20"/>
        </w:rPr>
        <w:t>Subsequent milestones were equally vague.</w:t>
      </w:r>
      <w:r w:rsidR="0045787C">
        <w:rPr>
          <w:rFonts w:eastAsia="Times New Roman" w:cs="Arial"/>
          <w:sz w:val="20"/>
          <w:szCs w:val="20"/>
        </w:rPr>
        <w:t xml:space="preserve"> </w:t>
      </w:r>
      <w:r w:rsidRPr="00DF2BF0">
        <w:rPr>
          <w:rFonts w:eastAsia="Times New Roman" w:cs="Arial"/>
          <w:sz w:val="20"/>
          <w:szCs w:val="20"/>
        </w:rPr>
        <w:t xml:space="preserve">By the time the fourth milestone was paid, amounting to </w:t>
      </w:r>
      <w:r w:rsidR="00B06F3B">
        <w:rPr>
          <w:rFonts w:eastAsia="Times New Roman" w:cs="Arial"/>
          <w:sz w:val="20"/>
          <w:szCs w:val="20"/>
        </w:rPr>
        <w:t>more than</w:t>
      </w:r>
      <w:r w:rsidRPr="00DF2BF0">
        <w:rPr>
          <w:rFonts w:eastAsia="Times New Roman" w:cs="Arial"/>
          <w:sz w:val="20"/>
          <w:szCs w:val="20"/>
        </w:rPr>
        <w:t xml:space="preserve"> $100,000, the client’s finance office raised concerns about documentation.</w:t>
      </w:r>
      <w:r w:rsidR="0045787C">
        <w:rPr>
          <w:rFonts w:eastAsia="Times New Roman" w:cs="Arial"/>
          <w:sz w:val="20"/>
          <w:szCs w:val="20"/>
        </w:rPr>
        <w:t xml:space="preserve"> </w:t>
      </w:r>
      <w:r w:rsidRPr="00DF2BF0">
        <w:rPr>
          <w:rFonts w:eastAsia="Times New Roman" w:cs="Arial"/>
          <w:sz w:val="20"/>
          <w:szCs w:val="20"/>
        </w:rPr>
        <w:t>The vague terms</w:t>
      </w:r>
      <w:r w:rsidR="00B06F3B">
        <w:rPr>
          <w:rFonts w:eastAsia="Times New Roman" w:cs="Arial"/>
          <w:sz w:val="20"/>
          <w:szCs w:val="20"/>
        </w:rPr>
        <w:t>,</w:t>
      </w:r>
      <w:r w:rsidRPr="00DF2BF0">
        <w:rPr>
          <w:rFonts w:eastAsia="Times New Roman" w:cs="Arial"/>
          <w:sz w:val="20"/>
          <w:szCs w:val="20"/>
        </w:rPr>
        <w:t xml:space="preserve"> coupled with limited oversight and monitoring</w:t>
      </w:r>
      <w:r w:rsidR="00B06F3B">
        <w:rPr>
          <w:rFonts w:eastAsia="Times New Roman" w:cs="Arial"/>
          <w:sz w:val="20"/>
          <w:szCs w:val="20"/>
        </w:rPr>
        <w:t>,</w:t>
      </w:r>
      <w:r w:rsidRPr="00DF2BF0">
        <w:rPr>
          <w:rFonts w:eastAsia="Times New Roman" w:cs="Arial"/>
          <w:sz w:val="20"/>
          <w:szCs w:val="20"/>
        </w:rPr>
        <w:t xml:space="preserve"> led to the questioning of these costs in an audit and</w:t>
      </w:r>
      <w:r w:rsidR="00B06F3B">
        <w:rPr>
          <w:rFonts w:eastAsia="Times New Roman" w:cs="Arial"/>
          <w:sz w:val="20"/>
          <w:szCs w:val="20"/>
        </w:rPr>
        <w:t xml:space="preserve"> a</w:t>
      </w:r>
      <w:r w:rsidRPr="00DF2BF0">
        <w:rPr>
          <w:rFonts w:eastAsia="Times New Roman" w:cs="Arial"/>
          <w:sz w:val="20"/>
          <w:szCs w:val="20"/>
        </w:rPr>
        <w:t xml:space="preserve"> subsequent refund to the client</w:t>
      </w:r>
      <w:r w:rsidRPr="00DF2BF0">
        <w:rPr>
          <w:rFonts w:eastAsia="Times New Roman" w:cs="Arial"/>
          <w:color w:val="1F4D78"/>
          <w:sz w:val="20"/>
          <w:szCs w:val="20"/>
        </w:rPr>
        <w:t>.</w:t>
      </w:r>
    </w:p>
    <w:p w14:paraId="0A6BCCD2" w14:textId="77777777" w:rsidR="000555B0" w:rsidRPr="00DF2BF0" w:rsidRDefault="000555B0" w:rsidP="000555B0">
      <w:pPr>
        <w:pStyle w:val="Heading3"/>
        <w:jc w:val="both"/>
        <w:rPr>
          <w:sz w:val="24"/>
        </w:rPr>
      </w:pPr>
      <w:r w:rsidRPr="00DF2BF0">
        <w:rPr>
          <w:sz w:val="24"/>
        </w:rPr>
        <w:t>Appropriate Action</w:t>
      </w:r>
    </w:p>
    <w:p w14:paraId="649D449E" w14:textId="216372F9" w:rsidR="000555B0" w:rsidRDefault="0088166E" w:rsidP="000555B0">
      <w:pPr>
        <w:jc w:val="both"/>
        <w:rPr>
          <w:rFonts w:cs="Arial"/>
          <w:sz w:val="20"/>
          <w:szCs w:val="20"/>
        </w:rPr>
      </w:pPr>
      <w:r w:rsidRPr="0028522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9712" behindDoc="0" locked="0" layoutInCell="1" allowOverlap="1" wp14:anchorId="3AFC3A5B" wp14:editId="503FFACD">
                <wp:simplePos x="0" y="0"/>
                <wp:positionH relativeFrom="column">
                  <wp:posOffset>41910</wp:posOffset>
                </wp:positionH>
                <wp:positionV relativeFrom="paragraph">
                  <wp:posOffset>1356995</wp:posOffset>
                </wp:positionV>
                <wp:extent cx="3322320" cy="2118360"/>
                <wp:effectExtent l="0" t="0" r="1143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211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8A899" w14:textId="7A4A9F35" w:rsidR="000555B0" w:rsidRPr="00EF7532" w:rsidRDefault="00B06F3B" w:rsidP="000555B0">
                            <w:pPr>
                              <w:keepNext/>
                              <w:keepLines/>
                              <w:spacing w:before="200" w:after="0"/>
                              <w:jc w:val="both"/>
                              <w:outlineLvl w:val="2"/>
                              <w:rPr>
                                <w:rFonts w:eastAsiaTheme="majorEastAsia" w:cstheme="majorBidi"/>
                                <w:b/>
                                <w:i/>
                                <w:color w:val="2B5A8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b/>
                                <w:i/>
                                <w:color w:val="2B5A85"/>
                                <w:sz w:val="24"/>
                                <w:szCs w:val="24"/>
                                <w:lang w:val="en-GB"/>
                              </w:rPr>
                              <w:t>Vetting Tools: Some Essential L</w:t>
                            </w:r>
                            <w:r w:rsidR="000555B0" w:rsidRPr="00EF7532">
                              <w:rPr>
                                <w:rFonts w:eastAsiaTheme="majorEastAsia" w:cstheme="majorBidi"/>
                                <w:b/>
                                <w:i/>
                                <w:color w:val="2B5A85"/>
                                <w:sz w:val="24"/>
                                <w:szCs w:val="24"/>
                                <w:lang w:val="en-GB"/>
                              </w:rPr>
                              <w:t xml:space="preserve">inks… </w:t>
                            </w:r>
                          </w:p>
                          <w:p w14:paraId="3188B679" w14:textId="77777777" w:rsidR="000555B0" w:rsidRPr="00EF7532" w:rsidRDefault="000555B0" w:rsidP="000555B0">
                            <w:pPr>
                              <w:ind w:left="862"/>
                              <w:contextualSpacing/>
                              <w:jc w:val="both"/>
                              <w:rPr>
                                <w:sz w:val="20"/>
                                <w:szCs w:val="24"/>
                                <w:lang w:val="en-GB"/>
                              </w:rPr>
                            </w:pPr>
                          </w:p>
                          <w:p w14:paraId="64CCFEF8" w14:textId="70D1B0D6" w:rsidR="000555B0" w:rsidRPr="00EF7532" w:rsidRDefault="0026162A" w:rsidP="000555B0">
                            <w:pPr>
                              <w:numPr>
                                <w:ilvl w:val="0"/>
                                <w:numId w:val="5"/>
                              </w:numPr>
                              <w:spacing w:line="312" w:lineRule="auto"/>
                              <w:ind w:left="284" w:hanging="284"/>
                              <w:contextualSpacing/>
                              <w:jc w:val="both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hyperlink r:id="rId16" w:history="1">
                              <w:r w:rsidR="000555B0" w:rsidRPr="003F09D9">
                                <w:rPr>
                                  <w:rStyle w:val="Hyperlink"/>
                                  <w:sz w:val="20"/>
                                  <w:szCs w:val="20"/>
                                  <w:lang w:val="en-GB"/>
                                </w:rPr>
                                <w:t>The System for Award Management</w:t>
                              </w:r>
                            </w:hyperlink>
                            <w:r w:rsidR="000555B0" w:rsidRPr="00EF7532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(SAM)</w:t>
                            </w:r>
                          </w:p>
                          <w:p w14:paraId="275E6715" w14:textId="526CCE16" w:rsidR="000555B0" w:rsidRPr="00EF7532" w:rsidRDefault="0026162A" w:rsidP="000555B0">
                            <w:pPr>
                              <w:numPr>
                                <w:ilvl w:val="0"/>
                                <w:numId w:val="5"/>
                              </w:numPr>
                              <w:spacing w:line="312" w:lineRule="auto"/>
                              <w:ind w:left="284" w:hanging="284"/>
                              <w:contextualSpacing/>
                              <w:jc w:val="both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hyperlink r:id="rId17" w:history="1">
                              <w:r w:rsidR="000555B0" w:rsidRPr="003F09D9">
                                <w:rPr>
                                  <w:rStyle w:val="Hyperlink"/>
                                  <w:sz w:val="20"/>
                                  <w:szCs w:val="20"/>
                                  <w:lang w:val="en-GB"/>
                                </w:rPr>
                                <w:t>Office of Foreign Asset Control</w:t>
                              </w:r>
                            </w:hyperlink>
                            <w:r w:rsidR="000555B0" w:rsidRPr="00EF7532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(OFAC)</w:t>
                            </w:r>
                          </w:p>
                          <w:p w14:paraId="6BA55530" w14:textId="4E9823F0" w:rsidR="000555B0" w:rsidRPr="00EF7532" w:rsidRDefault="0026162A" w:rsidP="000555B0">
                            <w:pPr>
                              <w:numPr>
                                <w:ilvl w:val="0"/>
                                <w:numId w:val="5"/>
                              </w:numPr>
                              <w:spacing w:line="312" w:lineRule="auto"/>
                              <w:ind w:left="284" w:hanging="284"/>
                              <w:contextualSpacing/>
                              <w:jc w:val="both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hyperlink r:id="rId18" w:history="1">
                              <w:r w:rsidR="000555B0" w:rsidRPr="003F09D9">
                                <w:rPr>
                                  <w:rStyle w:val="Hyperlink"/>
                                  <w:sz w:val="20"/>
                                  <w:szCs w:val="20"/>
                                  <w:lang w:val="en-GB"/>
                                </w:rPr>
                                <w:t>World Bank listing of ineligible firms and individuals</w:t>
                              </w:r>
                            </w:hyperlink>
                          </w:p>
                          <w:p w14:paraId="40C1F3FF" w14:textId="2F3638D2" w:rsidR="000555B0" w:rsidRPr="00EF7532" w:rsidRDefault="000555B0" w:rsidP="000555B0">
                            <w:pPr>
                              <w:numPr>
                                <w:ilvl w:val="0"/>
                                <w:numId w:val="5"/>
                              </w:numPr>
                              <w:spacing w:line="312" w:lineRule="auto"/>
                              <w:ind w:left="284" w:hanging="284"/>
                              <w:contextualSpacing/>
                              <w:jc w:val="both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7532">
                              <w:rPr>
                                <w:sz w:val="20"/>
                                <w:szCs w:val="20"/>
                                <w:lang w:val="en-GB"/>
                              </w:rPr>
                              <w:t>Conduct cyber vetting checks (Google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, general web research)</w:t>
                            </w:r>
                          </w:p>
                          <w:p w14:paraId="6BBA444B" w14:textId="77777777" w:rsidR="000555B0" w:rsidRPr="00EF7532" w:rsidRDefault="000555B0" w:rsidP="000555B0">
                            <w:pPr>
                              <w:spacing w:line="312" w:lineRule="auto"/>
                              <w:ind w:left="284"/>
                              <w:contextualSpacing/>
                              <w:jc w:val="both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7532">
                              <w:rPr>
                                <w:sz w:val="20"/>
                                <w:szCs w:val="20"/>
                                <w:lang w:val="en-GB"/>
                              </w:rPr>
                              <w:t>And if relevant:</w:t>
                            </w:r>
                          </w:p>
                          <w:p w14:paraId="63DAD619" w14:textId="77777777" w:rsidR="000555B0" w:rsidRPr="00EF7532" w:rsidRDefault="000555B0" w:rsidP="000555B0">
                            <w:pPr>
                              <w:numPr>
                                <w:ilvl w:val="0"/>
                                <w:numId w:val="5"/>
                              </w:numPr>
                              <w:spacing w:line="312" w:lineRule="auto"/>
                              <w:ind w:left="284" w:hanging="284"/>
                              <w:contextualSpacing/>
                              <w:jc w:val="both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7532">
                              <w:rPr>
                                <w:sz w:val="20"/>
                                <w:szCs w:val="20"/>
                                <w:lang w:val="en-GB"/>
                              </w:rPr>
                              <w:t>Collect work reference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s</w:t>
                            </w:r>
                            <w:r w:rsidRPr="00EF7532">
                              <w:rPr>
                                <w:sz w:val="20"/>
                                <w:szCs w:val="20"/>
                                <w:lang w:val="en-GB"/>
                              </w:rPr>
                              <w:t>; confirm individual qualifications</w:t>
                            </w:r>
                          </w:p>
                          <w:p w14:paraId="5D5469CD" w14:textId="77777777" w:rsidR="000555B0" w:rsidRDefault="000555B0" w:rsidP="000555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C3A5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.3pt;margin-top:106.85pt;width:261.6pt;height:166.8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" strokecolor="black [3213]">
                <v:textbox>
                  <w:txbxContent>
                    <w:p w14:paraId="2E98A899" w14:textId="7A4A9F35" w:rsidR="000555B0" w:rsidRPr="00EF7532" w:rsidRDefault="00B06F3B" w:rsidP="000555B0">
                      <w:pPr>
                        <w:keepNext/>
                        <w:keepLines/>
                        <w:spacing w:before="200" w:after="0"/>
                        <w:jc w:val="both"/>
                        <w:outlineLvl w:val="2"/>
                        <w:rPr>
                          <w:rFonts w:eastAsiaTheme="majorEastAsia" w:cstheme="majorBidi"/>
                          <w:b/>
                          <w:i/>
                          <w:color w:val="2B5A85"/>
                          <w:sz w:val="24"/>
                          <w:szCs w:val="24"/>
                        </w:rPr>
                      </w:pPr>
                      <w:r>
                        <w:rPr>
                          <w:rFonts w:eastAsiaTheme="majorEastAsia" w:cstheme="majorBidi"/>
                          <w:b/>
                          <w:i/>
                          <w:color w:val="2B5A85"/>
                          <w:sz w:val="24"/>
                          <w:szCs w:val="24"/>
                          <w:lang w:val="en-GB"/>
                        </w:rPr>
                        <w:t>Vetting Tools: Some Essential L</w:t>
                      </w:r>
                      <w:r w:rsidR="000555B0" w:rsidRPr="00EF7532">
                        <w:rPr>
                          <w:rFonts w:eastAsiaTheme="majorEastAsia" w:cstheme="majorBidi"/>
                          <w:b/>
                          <w:i/>
                          <w:color w:val="2B5A85"/>
                          <w:sz w:val="24"/>
                          <w:szCs w:val="24"/>
                          <w:lang w:val="en-GB"/>
                        </w:rPr>
                        <w:t xml:space="preserve">inks… </w:t>
                      </w:r>
                    </w:p>
                    <w:p w14:paraId="3188B679" w14:textId="77777777" w:rsidR="000555B0" w:rsidRPr="00EF7532" w:rsidRDefault="000555B0" w:rsidP="000555B0">
                      <w:pPr>
                        <w:ind w:left="862"/>
                        <w:contextualSpacing/>
                        <w:jc w:val="both"/>
                        <w:rPr>
                          <w:sz w:val="20"/>
                          <w:szCs w:val="24"/>
                          <w:lang w:val="en-GB"/>
                        </w:rPr>
                      </w:pPr>
                    </w:p>
                    <w:p w14:paraId="64CCFEF8" w14:textId="70D1B0D6" w:rsidR="000555B0" w:rsidRPr="00EF7532" w:rsidRDefault="003F09D9" w:rsidP="000555B0">
                      <w:pPr>
                        <w:numPr>
                          <w:ilvl w:val="0"/>
                          <w:numId w:val="5"/>
                        </w:numPr>
                        <w:spacing w:line="312" w:lineRule="auto"/>
                        <w:ind w:left="284" w:hanging="284"/>
                        <w:contextualSpacing/>
                        <w:jc w:val="both"/>
                        <w:rPr>
                          <w:sz w:val="20"/>
                          <w:szCs w:val="20"/>
                          <w:lang w:val="en-GB"/>
                        </w:rPr>
                      </w:pPr>
                      <w:hyperlink r:id="rId19" w:history="1">
                        <w:r w:rsidR="000555B0" w:rsidRPr="003F09D9">
                          <w:rPr>
                            <w:rStyle w:val="Hyperlink"/>
                            <w:sz w:val="20"/>
                            <w:szCs w:val="20"/>
                            <w:lang w:val="en-GB"/>
                          </w:rPr>
                          <w:t>The System for Award Management</w:t>
                        </w:r>
                      </w:hyperlink>
                      <w:r w:rsidR="000555B0" w:rsidRPr="00EF7532">
                        <w:rPr>
                          <w:sz w:val="20"/>
                          <w:szCs w:val="20"/>
                          <w:lang w:val="en-GB"/>
                        </w:rPr>
                        <w:t xml:space="preserve"> (SAM)</w:t>
                      </w:r>
                    </w:p>
                    <w:p w14:paraId="275E6715" w14:textId="526CCE16" w:rsidR="000555B0" w:rsidRPr="00EF7532" w:rsidRDefault="003F09D9" w:rsidP="000555B0">
                      <w:pPr>
                        <w:numPr>
                          <w:ilvl w:val="0"/>
                          <w:numId w:val="5"/>
                        </w:numPr>
                        <w:spacing w:line="312" w:lineRule="auto"/>
                        <w:ind w:left="284" w:hanging="284"/>
                        <w:contextualSpacing/>
                        <w:jc w:val="both"/>
                        <w:rPr>
                          <w:sz w:val="20"/>
                          <w:szCs w:val="20"/>
                          <w:lang w:val="en-GB"/>
                        </w:rPr>
                      </w:pPr>
                      <w:hyperlink r:id="rId20" w:history="1">
                        <w:r w:rsidR="000555B0" w:rsidRPr="003F09D9">
                          <w:rPr>
                            <w:rStyle w:val="Hyperlink"/>
                            <w:sz w:val="20"/>
                            <w:szCs w:val="20"/>
                            <w:lang w:val="en-GB"/>
                          </w:rPr>
                          <w:t>Office of Foreign Asset Control</w:t>
                        </w:r>
                      </w:hyperlink>
                      <w:r w:rsidR="000555B0" w:rsidRPr="00EF7532">
                        <w:rPr>
                          <w:sz w:val="20"/>
                          <w:szCs w:val="20"/>
                          <w:lang w:val="en-GB"/>
                        </w:rPr>
                        <w:t xml:space="preserve"> (OFAC)</w:t>
                      </w:r>
                    </w:p>
                    <w:p w14:paraId="6BA55530" w14:textId="4E9823F0" w:rsidR="000555B0" w:rsidRPr="00EF7532" w:rsidRDefault="003F09D9" w:rsidP="000555B0">
                      <w:pPr>
                        <w:numPr>
                          <w:ilvl w:val="0"/>
                          <w:numId w:val="5"/>
                        </w:numPr>
                        <w:spacing w:line="312" w:lineRule="auto"/>
                        <w:ind w:left="284" w:hanging="284"/>
                        <w:contextualSpacing/>
                        <w:jc w:val="both"/>
                        <w:rPr>
                          <w:sz w:val="20"/>
                          <w:szCs w:val="20"/>
                          <w:lang w:val="en-GB"/>
                        </w:rPr>
                      </w:pPr>
                      <w:hyperlink r:id="rId21" w:history="1">
                        <w:r w:rsidR="000555B0" w:rsidRPr="003F09D9">
                          <w:rPr>
                            <w:rStyle w:val="Hyperlink"/>
                            <w:sz w:val="20"/>
                            <w:szCs w:val="20"/>
                            <w:lang w:val="en-GB"/>
                          </w:rPr>
                          <w:t>World Bank listing of ineligible firms and individuals</w:t>
                        </w:r>
                      </w:hyperlink>
                      <w:bookmarkStart w:id="1" w:name="_GoBack"/>
                      <w:bookmarkEnd w:id="1"/>
                    </w:p>
                    <w:p w14:paraId="40C1F3FF" w14:textId="2F3638D2" w:rsidR="000555B0" w:rsidRPr="00EF7532" w:rsidRDefault="000555B0" w:rsidP="000555B0">
                      <w:pPr>
                        <w:numPr>
                          <w:ilvl w:val="0"/>
                          <w:numId w:val="5"/>
                        </w:numPr>
                        <w:spacing w:line="312" w:lineRule="auto"/>
                        <w:ind w:left="284" w:hanging="284"/>
                        <w:contextualSpacing/>
                        <w:jc w:val="both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EF7532">
                        <w:rPr>
                          <w:sz w:val="20"/>
                          <w:szCs w:val="20"/>
                          <w:lang w:val="en-GB"/>
                        </w:rPr>
                        <w:t>Conduct cyber vetting checks (Google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, general web research)</w:t>
                      </w:r>
                    </w:p>
                    <w:p w14:paraId="6BBA444B" w14:textId="77777777" w:rsidR="000555B0" w:rsidRPr="00EF7532" w:rsidRDefault="000555B0" w:rsidP="000555B0">
                      <w:pPr>
                        <w:spacing w:line="312" w:lineRule="auto"/>
                        <w:ind w:left="284"/>
                        <w:contextualSpacing/>
                        <w:jc w:val="both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EF7532">
                        <w:rPr>
                          <w:sz w:val="20"/>
                          <w:szCs w:val="20"/>
                          <w:lang w:val="en-GB"/>
                        </w:rPr>
                        <w:t>And if relevant:</w:t>
                      </w:r>
                    </w:p>
                    <w:p w14:paraId="63DAD619" w14:textId="77777777" w:rsidR="000555B0" w:rsidRPr="00EF7532" w:rsidRDefault="000555B0" w:rsidP="000555B0">
                      <w:pPr>
                        <w:numPr>
                          <w:ilvl w:val="0"/>
                          <w:numId w:val="5"/>
                        </w:numPr>
                        <w:spacing w:line="312" w:lineRule="auto"/>
                        <w:ind w:left="284" w:hanging="284"/>
                        <w:contextualSpacing/>
                        <w:jc w:val="both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EF7532">
                        <w:rPr>
                          <w:sz w:val="20"/>
                          <w:szCs w:val="20"/>
                          <w:lang w:val="en-GB"/>
                        </w:rPr>
                        <w:t>Collect work reference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s</w:t>
                      </w:r>
                      <w:r w:rsidRPr="00EF7532">
                        <w:rPr>
                          <w:sz w:val="20"/>
                          <w:szCs w:val="20"/>
                          <w:lang w:val="en-GB"/>
                        </w:rPr>
                        <w:t>; confirm individual qualifications</w:t>
                      </w:r>
                    </w:p>
                    <w:p w14:paraId="5D5469CD" w14:textId="77777777" w:rsidR="000555B0" w:rsidRDefault="000555B0" w:rsidP="000555B0"/>
                  </w:txbxContent>
                </v:textbox>
                <w10:wrap type="square"/>
              </v:shape>
            </w:pict>
          </mc:Fallback>
        </mc:AlternateContent>
      </w:r>
      <w:r w:rsidR="000555B0" w:rsidRPr="00DF2BF0">
        <w:rPr>
          <w:rFonts w:cs="Arial"/>
          <w:sz w:val="20"/>
          <w:szCs w:val="20"/>
        </w:rPr>
        <w:t xml:space="preserve">In retrospect, the milestones should have been more specific, </w:t>
      </w:r>
      <w:r w:rsidR="00B06F3B">
        <w:rPr>
          <w:rFonts w:cs="Arial"/>
          <w:sz w:val="20"/>
          <w:szCs w:val="20"/>
        </w:rPr>
        <w:t xml:space="preserve">to include documentation </w:t>
      </w:r>
      <w:r w:rsidR="000555B0" w:rsidRPr="00DF2BF0">
        <w:rPr>
          <w:rFonts w:cs="Arial"/>
          <w:sz w:val="20"/>
          <w:szCs w:val="20"/>
        </w:rPr>
        <w:t>such as office lease, account registration documents, employment agreements</w:t>
      </w:r>
      <w:r w:rsidR="00B06F3B">
        <w:rPr>
          <w:rFonts w:cs="Arial"/>
          <w:sz w:val="20"/>
          <w:szCs w:val="20"/>
        </w:rPr>
        <w:t>,</w:t>
      </w:r>
      <w:r w:rsidR="000555B0" w:rsidRPr="00DF2BF0">
        <w:rPr>
          <w:rFonts w:cs="Arial"/>
          <w:sz w:val="20"/>
          <w:szCs w:val="20"/>
        </w:rPr>
        <w:t xml:space="preserve"> and pay stubs.</w:t>
      </w:r>
      <w:r w:rsidR="0045787C">
        <w:rPr>
          <w:rFonts w:cs="Arial"/>
          <w:sz w:val="20"/>
          <w:szCs w:val="20"/>
        </w:rPr>
        <w:t xml:space="preserve"> </w:t>
      </w:r>
      <w:r w:rsidR="000555B0" w:rsidRPr="00DF2BF0">
        <w:rPr>
          <w:rFonts w:cs="Arial"/>
          <w:sz w:val="20"/>
          <w:szCs w:val="20"/>
        </w:rPr>
        <w:t>Clear specifications and terms of reference are essential in holding a subcontractor or grantee accountable for performance.</w:t>
      </w:r>
      <w:r w:rsidR="0045787C">
        <w:rPr>
          <w:rFonts w:cs="Arial"/>
          <w:sz w:val="20"/>
          <w:szCs w:val="20"/>
        </w:rPr>
        <w:t xml:space="preserve"> </w:t>
      </w:r>
      <w:r w:rsidR="000555B0" w:rsidRPr="00DF2BF0">
        <w:rPr>
          <w:rFonts w:cs="Arial"/>
          <w:sz w:val="20"/>
          <w:szCs w:val="20"/>
        </w:rPr>
        <w:t>These work requirements must be coupled with effective oversight and monitoring to assure performance or delivery.</w:t>
      </w:r>
    </w:p>
    <w:p w14:paraId="789226BD" w14:textId="77777777" w:rsidR="00B159F1" w:rsidRPr="00F260ED" w:rsidRDefault="00B159F1" w:rsidP="00F260ED"/>
    <w:sectPr w:rsidR="00B159F1" w:rsidRPr="00F260ED" w:rsidSect="000555B0">
      <w:type w:val="continuous"/>
      <w:pgSz w:w="12240" w:h="15840" w:code="1"/>
      <w:pgMar w:top="1985" w:right="720" w:bottom="720" w:left="720" w:header="1152" w:footer="288" w:gutter="0"/>
      <w:cols w:num="2" w:space="28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1184C" w14:textId="77777777" w:rsidR="009E7F5D" w:rsidRDefault="009E7F5D" w:rsidP="009D6B57">
      <w:pPr>
        <w:spacing w:after="0"/>
      </w:pPr>
      <w:r>
        <w:separator/>
      </w:r>
    </w:p>
  </w:endnote>
  <w:endnote w:type="continuationSeparator" w:id="0">
    <w:p w14:paraId="5DEED58B" w14:textId="77777777" w:rsidR="009E7F5D" w:rsidRDefault="009E7F5D" w:rsidP="009D6B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D5B31" w14:textId="77777777" w:rsidR="00B159F1" w:rsidRDefault="00B80774" w:rsidP="00B159F1">
    <w:pPr>
      <w:pStyle w:val="Footer"/>
      <w:tabs>
        <w:tab w:val="clear" w:pos="4680"/>
        <w:tab w:val="clear" w:pos="9360"/>
        <w:tab w:val="left" w:pos="7200"/>
      </w:tabs>
    </w:pPr>
    <w:r w:rsidRPr="00D20E78">
      <w:rPr>
        <w:rFonts w:eastAsia="Times New Roman"/>
        <w:noProof/>
        <w:szCs w:val="20"/>
      </w:rPr>
      <w:drawing>
        <wp:anchor distT="0" distB="0" distL="114300" distR="114300" simplePos="0" relativeHeight="251662336" behindDoc="0" locked="0" layoutInCell="1" allowOverlap="1" wp14:anchorId="6866082B" wp14:editId="2D5457F4">
          <wp:simplePos x="0" y="0"/>
          <wp:positionH relativeFrom="column">
            <wp:posOffset>97790</wp:posOffset>
          </wp:positionH>
          <wp:positionV relativeFrom="paragraph">
            <wp:posOffset>-939020</wp:posOffset>
          </wp:positionV>
          <wp:extent cx="3009265" cy="802005"/>
          <wp:effectExtent l="0" t="0" r="635" b="0"/>
          <wp:wrapSquare wrapText="bothSides"/>
          <wp:docPr id="14" name="Picture 14" descr="dai-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i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265" cy="802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59F1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269EF" w14:textId="77777777" w:rsidR="005639DE" w:rsidRDefault="005639DE">
    <w:pPr>
      <w:pStyle w:val="Footer"/>
      <w:jc w:val="right"/>
    </w:pPr>
  </w:p>
  <w:p w14:paraId="5986B2E4" w14:textId="77777777" w:rsidR="00740F4F" w:rsidRPr="00740F4F" w:rsidRDefault="00492367" w:rsidP="005639DE">
    <w:pPr>
      <w:pStyle w:val="Footer"/>
      <w:tabs>
        <w:tab w:val="clear" w:pos="9360"/>
        <w:tab w:val="right" w:pos="10620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54D788AF" wp14:editId="6BA379FD">
              <wp:simplePos x="0" y="0"/>
              <wp:positionH relativeFrom="column">
                <wp:posOffset>-457200</wp:posOffset>
              </wp:positionH>
              <wp:positionV relativeFrom="paragraph">
                <wp:posOffset>-513715</wp:posOffset>
              </wp:positionV>
              <wp:extent cx="7760970" cy="1404620"/>
              <wp:effectExtent l="0" t="0" r="0" b="7620"/>
              <wp:wrapSquare wrapText="bothSides"/>
              <wp:docPr id="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60970" cy="1404620"/>
                      </a:xfrm>
                      <a:prstGeom prst="rect">
                        <a:avLst/>
                      </a:prstGeom>
                      <a:solidFill>
                        <a:srgbClr val="D3E3F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DD4877" w14:textId="77777777" w:rsidR="00492367" w:rsidRPr="00B96333" w:rsidRDefault="00492367" w:rsidP="00492367">
                          <w:pPr>
                            <w:pStyle w:val="Footer"/>
                            <w:jc w:val="center"/>
                            <w:rPr>
                              <w:rFonts w:cs="Arial"/>
                              <w:color w:val="2B5A85"/>
                              <w:sz w:val="20"/>
                            </w:rPr>
                          </w:pPr>
                          <w:r w:rsidRPr="00B96333">
                            <w:rPr>
                              <w:rFonts w:cs="Arial"/>
                              <w:color w:val="2B5A85"/>
                              <w:sz w:val="20"/>
                            </w:rPr>
                            <w:t>To make an anonymous report, contact:</w:t>
                          </w:r>
                        </w:p>
                        <w:p w14:paraId="0731B967" w14:textId="77777777" w:rsidR="00492367" w:rsidRPr="00740F4F" w:rsidRDefault="00492367" w:rsidP="00492367">
                          <w:pPr>
                            <w:pStyle w:val="Footer"/>
                            <w:jc w:val="center"/>
                            <w:rPr>
                              <w:rFonts w:cs="Arial"/>
                              <w:color w:val="2B5A85"/>
                              <w:sz w:val="20"/>
                            </w:rPr>
                          </w:pPr>
                          <w:r w:rsidRPr="00F260ED">
                            <w:rPr>
                              <w:rFonts w:cs="Arial"/>
                              <w:color w:val="2B5A85"/>
                              <w:sz w:val="20"/>
                            </w:rPr>
                            <w:t>ethics@dai.com</w:t>
                          </w:r>
                          <w:r>
                            <w:rPr>
                              <w:rFonts w:cs="Arial"/>
                              <w:color w:val="2B5A85"/>
                              <w:sz w:val="20"/>
                            </w:rPr>
                            <w:t xml:space="preserve"> ■ +1 855 603 6987 (US) ■ +1 503 597 4328 (International)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4D788A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36pt;margin-top:-40.45pt;width:611.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" fillcolor="#d3e3f1" stroked="f">
              <v:textbox style="mso-fit-shape-to-text:t">
                <w:txbxContent>
                  <w:p w14:paraId="1FDD4877" w14:textId="77777777" w:rsidR="00492367" w:rsidRPr="00B96333" w:rsidRDefault="00492367" w:rsidP="00492367">
                    <w:pPr>
                      <w:pStyle w:val="Footer"/>
                      <w:jc w:val="center"/>
                      <w:rPr>
                        <w:rFonts w:cs="Arial"/>
                        <w:color w:val="2B5A85"/>
                        <w:sz w:val="20"/>
                      </w:rPr>
                    </w:pPr>
                    <w:r w:rsidRPr="00B96333">
                      <w:rPr>
                        <w:rFonts w:cs="Arial"/>
                        <w:color w:val="2B5A85"/>
                        <w:sz w:val="20"/>
                      </w:rPr>
                      <w:t>To make an anonymous report, contact:</w:t>
                    </w:r>
                  </w:p>
                  <w:p w14:paraId="0731B967" w14:textId="77777777" w:rsidR="00492367" w:rsidRPr="00740F4F" w:rsidRDefault="00492367" w:rsidP="00492367">
                    <w:pPr>
                      <w:pStyle w:val="Footer"/>
                      <w:jc w:val="center"/>
                      <w:rPr>
                        <w:rFonts w:cs="Arial"/>
                        <w:color w:val="2B5A85"/>
                        <w:sz w:val="20"/>
                      </w:rPr>
                    </w:pPr>
                    <w:r w:rsidRPr="00F260ED">
                      <w:rPr>
                        <w:rFonts w:cs="Arial"/>
                        <w:color w:val="2B5A85"/>
                        <w:sz w:val="20"/>
                      </w:rPr>
                      <w:t>ethics@dai.com</w:t>
                    </w:r>
                    <w:r>
                      <w:rPr>
                        <w:rFonts w:cs="Arial"/>
                        <w:color w:val="2B5A85"/>
                        <w:sz w:val="20"/>
                      </w:rPr>
                      <w:t xml:space="preserve"> ■ +1 855 603 6987 (US) ■ +1 503 597 4328 (International)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E30CB" w14:textId="77777777" w:rsidR="00B80774" w:rsidRDefault="00B80774" w:rsidP="00B159F1">
    <w:pPr>
      <w:pStyle w:val="Footer"/>
      <w:tabs>
        <w:tab w:val="clear" w:pos="4680"/>
        <w:tab w:val="clear" w:pos="9360"/>
        <w:tab w:val="left" w:pos="720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CD788" w14:textId="77777777" w:rsidR="009E7F5D" w:rsidRDefault="009E7F5D" w:rsidP="009D6B57">
      <w:pPr>
        <w:spacing w:after="0"/>
      </w:pPr>
      <w:r>
        <w:separator/>
      </w:r>
    </w:p>
  </w:footnote>
  <w:footnote w:type="continuationSeparator" w:id="0">
    <w:p w14:paraId="77A7D085" w14:textId="77777777" w:rsidR="009E7F5D" w:rsidRDefault="009E7F5D" w:rsidP="009D6B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0227540"/>
      <w:docPartObj>
        <w:docPartGallery w:val="Page Numbers (Top of Page)"/>
        <w:docPartUnique/>
      </w:docPartObj>
    </w:sdtPr>
    <w:sdtEndPr>
      <w:rPr>
        <w:rFonts w:ascii="Arial Narrow" w:hAnsi="Arial Narrow"/>
        <w:noProof/>
        <w:color w:val="2B5A85"/>
        <w:sz w:val="24"/>
        <w:szCs w:val="24"/>
      </w:rPr>
    </w:sdtEndPr>
    <w:sdtContent>
      <w:p w14:paraId="791D77CD" w14:textId="77777777" w:rsidR="005639DE" w:rsidRPr="005639DE" w:rsidRDefault="005639DE" w:rsidP="00A84A79">
        <w:pPr>
          <w:pStyle w:val="Header"/>
          <w:tabs>
            <w:tab w:val="left" w:pos="10440"/>
          </w:tabs>
          <w:jc w:val="right"/>
          <w:rPr>
            <w:rFonts w:ascii="Arial Narrow" w:hAnsi="Arial Narrow"/>
            <w:color w:val="2B5A85"/>
            <w:sz w:val="24"/>
            <w:szCs w:val="24"/>
          </w:rPr>
        </w:pPr>
        <w:r w:rsidRPr="005639DE">
          <w:rPr>
            <w:rFonts w:ascii="Arial Narrow" w:hAnsi="Arial Narrow"/>
            <w:noProof/>
            <w:color w:val="2B5A85"/>
            <w:sz w:val="24"/>
            <w:szCs w:val="24"/>
          </w:rPr>
          <w:drawing>
            <wp:anchor distT="0" distB="0" distL="114300" distR="114300" simplePos="0" relativeHeight="251664384" behindDoc="0" locked="0" layoutInCell="1" allowOverlap="1" wp14:anchorId="5CCFD288" wp14:editId="2BCC8911">
              <wp:simplePos x="0" y="0"/>
              <wp:positionH relativeFrom="column">
                <wp:posOffset>82550</wp:posOffset>
              </wp:positionH>
              <wp:positionV relativeFrom="paragraph">
                <wp:posOffset>-35560</wp:posOffset>
              </wp:positionV>
              <wp:extent cx="711200" cy="228600"/>
              <wp:effectExtent l="0" t="0" r="0" b="0"/>
              <wp:wrapSquare wrapText="bothSides"/>
              <wp:docPr id="4" name="Picture 4" descr="dai_logo_rgb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ai_logo_rgb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112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5639DE">
          <w:rPr>
            <w:rFonts w:ascii="Arial Narrow" w:hAnsi="Arial Narrow"/>
            <w:color w:val="2B5A85"/>
            <w:sz w:val="24"/>
            <w:szCs w:val="24"/>
          </w:rPr>
          <w:fldChar w:fldCharType="begin"/>
        </w:r>
        <w:r w:rsidRPr="005639DE">
          <w:rPr>
            <w:rFonts w:ascii="Arial Narrow" w:hAnsi="Arial Narrow"/>
            <w:color w:val="2B5A85"/>
            <w:sz w:val="24"/>
            <w:szCs w:val="24"/>
          </w:rPr>
          <w:instrText xml:space="preserve"> PAGE   \* MERGEFORMAT </w:instrText>
        </w:r>
        <w:r w:rsidRPr="005639DE">
          <w:rPr>
            <w:rFonts w:ascii="Arial Narrow" w:hAnsi="Arial Narrow"/>
            <w:color w:val="2B5A85"/>
            <w:sz w:val="24"/>
            <w:szCs w:val="24"/>
          </w:rPr>
          <w:fldChar w:fldCharType="separate"/>
        </w:r>
        <w:r w:rsidR="00EC23A4">
          <w:rPr>
            <w:rFonts w:ascii="Arial Narrow" w:hAnsi="Arial Narrow"/>
            <w:noProof/>
            <w:color w:val="2B5A85"/>
            <w:sz w:val="24"/>
            <w:szCs w:val="24"/>
          </w:rPr>
          <w:t>2</w:t>
        </w:r>
        <w:r w:rsidRPr="005639DE">
          <w:rPr>
            <w:rFonts w:ascii="Arial Narrow" w:hAnsi="Arial Narrow"/>
            <w:noProof/>
            <w:color w:val="2B5A85"/>
            <w:sz w:val="24"/>
            <w:szCs w:val="24"/>
          </w:rPr>
          <w:fldChar w:fldCharType="end"/>
        </w:r>
      </w:p>
    </w:sdtContent>
  </w:sdt>
  <w:p w14:paraId="7A89F4B9" w14:textId="77777777" w:rsidR="00B96333" w:rsidRDefault="00B963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B4320" w14:textId="593ECFF4" w:rsidR="009D6B57" w:rsidRPr="00A825E2" w:rsidRDefault="00B80774" w:rsidP="00A825E2">
    <w:pPr>
      <w:pStyle w:val="Heading1"/>
      <w:rPr>
        <w:rFonts w:ascii="Arial Black" w:hAnsi="Arial Black"/>
        <w:sz w:val="52"/>
        <w:szCs w:val="52"/>
        <w14:textOutline w14:w="0" w14:cap="flat" w14:cmpd="sng" w14:algn="ctr">
          <w14:noFill/>
          <w14:prstDash w14:val="solid"/>
          <w14:round/>
        </w14:textOutline>
      </w:rPr>
    </w:pPr>
    <w:r w:rsidRPr="00A825E2">
      <w:rPr>
        <w:noProof/>
        <w:sz w:val="52"/>
        <w:szCs w:val="52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0B32CF6" wp14:editId="54D0C6C3">
              <wp:simplePos x="0" y="0"/>
              <wp:positionH relativeFrom="column">
                <wp:posOffset>5019906</wp:posOffset>
              </wp:positionH>
              <wp:positionV relativeFrom="paragraph">
                <wp:posOffset>165100</wp:posOffset>
              </wp:positionV>
              <wp:extent cx="1815465" cy="1404620"/>
              <wp:effectExtent l="0" t="0" r="0" b="19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546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998741" w14:textId="77777777" w:rsidR="009D6B57" w:rsidRPr="000A76C0" w:rsidRDefault="009D6B57" w:rsidP="00D22900">
                          <w:pPr>
                            <w:spacing w:after="0"/>
                            <w:jc w:val="right"/>
                            <w:rPr>
                              <w:rFonts w:cs="Arial"/>
                              <w:color w:val="2B5A85"/>
                            </w:rPr>
                          </w:pPr>
                          <w:r w:rsidRPr="000A76C0">
                            <w:rPr>
                              <w:rFonts w:cs="Arial"/>
                              <w:color w:val="2B5A85"/>
                            </w:rPr>
                            <w:t xml:space="preserve">Volume </w:t>
                          </w:r>
                          <w:r w:rsidR="009E7F5D">
                            <w:rPr>
                              <w:rFonts w:cs="Arial"/>
                              <w:color w:val="2B5A85"/>
                            </w:rPr>
                            <w:t>2</w:t>
                          </w:r>
                        </w:p>
                        <w:p w14:paraId="52E69723" w14:textId="77777777" w:rsidR="009D6B57" w:rsidRPr="000A76C0" w:rsidRDefault="009E7F5D" w:rsidP="00D22900">
                          <w:pPr>
                            <w:spacing w:after="0"/>
                            <w:jc w:val="right"/>
                            <w:rPr>
                              <w:rFonts w:cs="Arial"/>
                              <w:color w:val="2B5A85"/>
                            </w:rPr>
                          </w:pPr>
                          <w:r>
                            <w:rPr>
                              <w:rStyle w:val="SubtitleChar"/>
                            </w:rPr>
                            <w:t>April</w:t>
                          </w:r>
                          <w:r w:rsidR="009D6B57" w:rsidRPr="000A76C0">
                            <w:rPr>
                              <w:rFonts w:cs="Arial"/>
                              <w:color w:val="2B5A85"/>
                            </w:rPr>
                            <w:t xml:space="preserve"> 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0B32CF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5.25pt;margin-top:13pt;width:142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7pIQ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" stroked="f">
              <v:textbox style="mso-fit-shape-to-text:t">
                <w:txbxContent>
                  <w:p w14:paraId="2E998741" w14:textId="77777777" w:rsidR="009D6B57" w:rsidRPr="000A76C0" w:rsidRDefault="009D6B57" w:rsidP="00D22900">
                    <w:pPr>
                      <w:spacing w:after="0"/>
                      <w:jc w:val="right"/>
                      <w:rPr>
                        <w:rFonts w:cs="Arial"/>
                        <w:color w:val="2B5A85"/>
                      </w:rPr>
                    </w:pPr>
                    <w:r w:rsidRPr="000A76C0">
                      <w:rPr>
                        <w:rFonts w:cs="Arial"/>
                        <w:color w:val="2B5A85"/>
                      </w:rPr>
                      <w:t xml:space="preserve">Volume </w:t>
                    </w:r>
                    <w:r w:rsidR="009E7F5D">
                      <w:rPr>
                        <w:rFonts w:cs="Arial"/>
                        <w:color w:val="2B5A85"/>
                      </w:rPr>
                      <w:t>2</w:t>
                    </w:r>
                  </w:p>
                  <w:p w14:paraId="52E69723" w14:textId="77777777" w:rsidR="009D6B57" w:rsidRPr="000A76C0" w:rsidRDefault="009E7F5D" w:rsidP="00D22900">
                    <w:pPr>
                      <w:spacing w:after="0"/>
                      <w:jc w:val="right"/>
                      <w:rPr>
                        <w:rFonts w:cs="Arial"/>
                        <w:color w:val="2B5A85"/>
                      </w:rPr>
                    </w:pPr>
                    <w:r>
                      <w:rPr>
                        <w:rStyle w:val="SubtitleChar"/>
                      </w:rPr>
                      <w:t>April</w:t>
                    </w:r>
                    <w:r w:rsidR="009D6B57" w:rsidRPr="000A76C0">
                      <w:rPr>
                        <w:rFonts w:cs="Arial"/>
                        <w:color w:val="2B5A85"/>
                      </w:rPr>
                      <w:t xml:space="preserve"> 2017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6297C" w:rsidRPr="00A825E2">
      <w:rPr>
        <w:sz w:val="52"/>
        <w:szCs w:val="52"/>
      </w:rPr>
      <w:t xml:space="preserve">DAI Global Conduct </w:t>
    </w:r>
    <w:r w:rsidR="00C6297C" w:rsidRPr="00A825E2">
      <w:rPr>
        <w:b w:val="0"/>
        <w:i/>
        <w:sz w:val="52"/>
        <w:szCs w:val="52"/>
      </w:rPr>
      <w:t>Quarterly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779820"/>
      <w:docPartObj>
        <w:docPartGallery w:val="Page Numbers (Top of Page)"/>
        <w:docPartUnique/>
      </w:docPartObj>
    </w:sdtPr>
    <w:sdtEndPr>
      <w:rPr>
        <w:rFonts w:ascii="Arial Narrow" w:hAnsi="Arial Narrow"/>
        <w:noProof/>
        <w:color w:val="2B5A85"/>
        <w:sz w:val="24"/>
        <w:szCs w:val="24"/>
      </w:rPr>
    </w:sdtEndPr>
    <w:sdtContent>
      <w:p w14:paraId="385300BB" w14:textId="0FA2CD90" w:rsidR="00EC23A4" w:rsidRPr="005639DE" w:rsidRDefault="00842C88" w:rsidP="002C1308">
        <w:pPr>
          <w:pStyle w:val="Header"/>
          <w:tabs>
            <w:tab w:val="left" w:pos="10080"/>
          </w:tabs>
          <w:jc w:val="center"/>
          <w:rPr>
            <w:rFonts w:ascii="Arial Narrow" w:hAnsi="Arial Narrow"/>
            <w:color w:val="2B5A85"/>
            <w:sz w:val="24"/>
            <w:szCs w:val="24"/>
          </w:rPr>
        </w:pPr>
        <w:r w:rsidRPr="005639DE">
          <w:rPr>
            <w:rFonts w:ascii="Arial Narrow" w:hAnsi="Arial Narrow"/>
            <w:noProof/>
            <w:color w:val="2B5A85"/>
            <w:sz w:val="24"/>
            <w:szCs w:val="24"/>
          </w:rPr>
          <w:drawing>
            <wp:anchor distT="0" distB="0" distL="114300" distR="114300" simplePos="0" relativeHeight="251666432" behindDoc="0" locked="0" layoutInCell="1" allowOverlap="1" wp14:anchorId="17BEE88F" wp14:editId="11EC8347">
              <wp:simplePos x="0" y="0"/>
              <wp:positionH relativeFrom="column">
                <wp:posOffset>105605</wp:posOffset>
              </wp:positionH>
              <wp:positionV relativeFrom="paragraph">
                <wp:posOffset>-35560</wp:posOffset>
              </wp:positionV>
              <wp:extent cx="711200" cy="228600"/>
              <wp:effectExtent l="0" t="0" r="0" b="0"/>
              <wp:wrapSquare wrapText="bothSides"/>
              <wp:docPr id="8" name="Picture 8" descr="dai_logo_rgb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ai_logo_rgb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112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AB10E6">
          <w:rPr>
            <w:rFonts w:ascii="Arial Narrow" w:hAnsi="Arial Narrow"/>
            <w:noProof/>
            <w:color w:val="2B5A85"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3974FFA7" wp14:editId="588080BC">
                  <wp:simplePos x="0" y="0"/>
                  <wp:positionH relativeFrom="column">
                    <wp:posOffset>6516774</wp:posOffset>
                  </wp:positionH>
                  <wp:positionV relativeFrom="paragraph">
                    <wp:posOffset>-36830</wp:posOffset>
                  </wp:positionV>
                  <wp:extent cx="0" cy="228600"/>
                  <wp:effectExtent l="0" t="0" r="19050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2286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8CCD5F3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15pt,-2.9pt" to="513.1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" strokecolor="#4579b8 [3044]" strokeweight="1.5pt"/>
              </w:pict>
            </mc:Fallback>
          </mc:AlternateContent>
        </w:r>
        <w:r w:rsidR="00AB10E6">
          <w:tab/>
        </w:r>
        <w:r w:rsidR="00AB10E6">
          <w:tab/>
        </w:r>
        <w:r w:rsidR="00AB10E6">
          <w:tab/>
        </w:r>
        <w:r w:rsidR="00EC23A4" w:rsidRPr="005639DE">
          <w:rPr>
            <w:rFonts w:ascii="Arial Narrow" w:hAnsi="Arial Narrow"/>
            <w:color w:val="2B5A85"/>
            <w:sz w:val="24"/>
            <w:szCs w:val="24"/>
          </w:rPr>
          <w:fldChar w:fldCharType="begin"/>
        </w:r>
        <w:r w:rsidR="00EC23A4" w:rsidRPr="005639DE">
          <w:rPr>
            <w:rFonts w:ascii="Arial Narrow" w:hAnsi="Arial Narrow"/>
            <w:color w:val="2B5A85"/>
            <w:sz w:val="24"/>
            <w:szCs w:val="24"/>
          </w:rPr>
          <w:instrText xml:space="preserve"> PAGE   \* MERGEFORMAT </w:instrText>
        </w:r>
        <w:r w:rsidR="00EC23A4" w:rsidRPr="005639DE">
          <w:rPr>
            <w:rFonts w:ascii="Arial Narrow" w:hAnsi="Arial Narrow"/>
            <w:color w:val="2B5A85"/>
            <w:sz w:val="24"/>
            <w:szCs w:val="24"/>
          </w:rPr>
          <w:fldChar w:fldCharType="separate"/>
        </w:r>
        <w:r w:rsidR="0088166E">
          <w:rPr>
            <w:rFonts w:ascii="Arial Narrow" w:hAnsi="Arial Narrow"/>
            <w:noProof/>
            <w:color w:val="2B5A85"/>
            <w:sz w:val="24"/>
            <w:szCs w:val="24"/>
          </w:rPr>
          <w:t>3</w:t>
        </w:r>
        <w:r w:rsidR="00EC23A4" w:rsidRPr="005639DE">
          <w:rPr>
            <w:rFonts w:ascii="Arial Narrow" w:hAnsi="Arial Narrow"/>
            <w:noProof/>
            <w:color w:val="2B5A85"/>
            <w:sz w:val="24"/>
            <w:szCs w:val="24"/>
          </w:rPr>
          <w:fldChar w:fldCharType="end"/>
        </w:r>
      </w:p>
    </w:sdtContent>
  </w:sdt>
  <w:p w14:paraId="634FC552" w14:textId="77777777" w:rsidR="00EC23A4" w:rsidRDefault="00EC23A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0171280"/>
      <w:docPartObj>
        <w:docPartGallery w:val="Page Numbers (Top of Page)"/>
        <w:docPartUnique/>
      </w:docPartObj>
    </w:sdtPr>
    <w:sdtEndPr>
      <w:rPr>
        <w:rFonts w:ascii="Arial Narrow" w:hAnsi="Arial Narrow"/>
        <w:noProof/>
        <w:color w:val="2B5A85"/>
        <w:sz w:val="24"/>
        <w:szCs w:val="24"/>
      </w:rPr>
    </w:sdtEndPr>
    <w:sdtContent>
      <w:p w14:paraId="40131D3D" w14:textId="6F49E896" w:rsidR="000555B0" w:rsidRPr="005639DE" w:rsidRDefault="000555B0" w:rsidP="000555B0">
        <w:pPr>
          <w:pStyle w:val="Header"/>
          <w:tabs>
            <w:tab w:val="left" w:pos="10080"/>
          </w:tabs>
          <w:jc w:val="center"/>
          <w:rPr>
            <w:rFonts w:ascii="Arial Narrow" w:hAnsi="Arial Narrow"/>
            <w:color w:val="2B5A85"/>
            <w:sz w:val="24"/>
            <w:szCs w:val="24"/>
          </w:rPr>
        </w:pPr>
        <w:r w:rsidRPr="005639DE">
          <w:rPr>
            <w:rFonts w:ascii="Arial Narrow" w:hAnsi="Arial Narrow"/>
            <w:noProof/>
            <w:color w:val="2B5A85"/>
            <w:sz w:val="24"/>
            <w:szCs w:val="24"/>
          </w:rPr>
          <w:drawing>
            <wp:anchor distT="0" distB="0" distL="114300" distR="114300" simplePos="0" relativeHeight="251671552" behindDoc="0" locked="0" layoutInCell="1" allowOverlap="1" wp14:anchorId="38558055" wp14:editId="4329082F">
              <wp:simplePos x="0" y="0"/>
              <wp:positionH relativeFrom="column">
                <wp:posOffset>105605</wp:posOffset>
              </wp:positionH>
              <wp:positionV relativeFrom="paragraph">
                <wp:posOffset>-35560</wp:posOffset>
              </wp:positionV>
              <wp:extent cx="711200" cy="228600"/>
              <wp:effectExtent l="0" t="0" r="0" b="0"/>
              <wp:wrapSquare wrapText="bothSides"/>
              <wp:docPr id="11" name="Picture 11" descr="dai_logo_rgb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ai_logo_rgb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112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Arial Narrow" w:hAnsi="Arial Narrow"/>
            <w:noProof/>
            <w:color w:val="2B5A85"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182BBB9C" wp14:editId="60C8FC8D">
                  <wp:simplePos x="0" y="0"/>
                  <wp:positionH relativeFrom="column">
                    <wp:posOffset>6516774</wp:posOffset>
                  </wp:positionH>
                  <wp:positionV relativeFrom="paragraph">
                    <wp:posOffset>-36830</wp:posOffset>
                  </wp:positionV>
                  <wp:extent cx="0" cy="228600"/>
                  <wp:effectExtent l="0" t="0" r="1905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2286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92E3A8C"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15pt,-2.9pt" to="513.1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" strokecolor="#4579b8 [3044]" strokeweight="1.5pt"/>
              </w:pict>
            </mc:Fallback>
          </mc:AlternateContent>
        </w:r>
        <w:r>
          <w:tab/>
        </w:r>
        <w:r>
          <w:tab/>
        </w:r>
        <w:r>
          <w:tab/>
        </w:r>
        <w:r w:rsidRPr="005639DE">
          <w:rPr>
            <w:rFonts w:ascii="Arial Narrow" w:hAnsi="Arial Narrow"/>
            <w:color w:val="2B5A85"/>
            <w:sz w:val="24"/>
            <w:szCs w:val="24"/>
          </w:rPr>
          <w:fldChar w:fldCharType="begin"/>
        </w:r>
        <w:r w:rsidRPr="005639DE">
          <w:rPr>
            <w:rFonts w:ascii="Arial Narrow" w:hAnsi="Arial Narrow"/>
            <w:color w:val="2B5A85"/>
            <w:sz w:val="24"/>
            <w:szCs w:val="24"/>
          </w:rPr>
          <w:instrText xml:space="preserve"> PAGE   \* MERGEFORMAT </w:instrText>
        </w:r>
        <w:r w:rsidRPr="005639DE">
          <w:rPr>
            <w:rFonts w:ascii="Arial Narrow" w:hAnsi="Arial Narrow"/>
            <w:color w:val="2B5A85"/>
            <w:sz w:val="24"/>
            <w:szCs w:val="24"/>
          </w:rPr>
          <w:fldChar w:fldCharType="separate"/>
        </w:r>
        <w:r w:rsidR="0026162A">
          <w:rPr>
            <w:rFonts w:ascii="Arial Narrow" w:hAnsi="Arial Narrow"/>
            <w:noProof/>
            <w:color w:val="2B5A85"/>
            <w:sz w:val="24"/>
            <w:szCs w:val="24"/>
          </w:rPr>
          <w:t>2</w:t>
        </w:r>
        <w:r w:rsidRPr="005639DE">
          <w:rPr>
            <w:rFonts w:ascii="Arial Narrow" w:hAnsi="Arial Narrow"/>
            <w:noProof/>
            <w:color w:val="2B5A85"/>
            <w:sz w:val="24"/>
            <w:szCs w:val="24"/>
          </w:rPr>
          <w:fldChar w:fldCharType="end"/>
        </w:r>
      </w:p>
    </w:sdtContent>
  </w:sdt>
  <w:p w14:paraId="00354557" w14:textId="77777777" w:rsidR="00B80774" w:rsidRPr="00B80774" w:rsidRDefault="00B80774" w:rsidP="00B80774">
    <w:pPr>
      <w:pStyle w:val="NewsletterTitle"/>
      <w:jc w:val="both"/>
      <w:rPr>
        <w:rFonts w:ascii="Arial Black" w:hAnsi="Arial Black"/>
        <w:b w:val="0"/>
        <w:sz w:val="64"/>
        <w:szCs w:val="6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B6299"/>
    <w:multiLevelType w:val="hybridMultilevel"/>
    <w:tmpl w:val="C87A807C"/>
    <w:lvl w:ilvl="0" w:tplc="248ED5D8">
      <w:start w:val="1"/>
      <w:numFmt w:val="bullet"/>
      <w:lvlText w:val=""/>
      <w:lvlJc w:val="left"/>
      <w:pPr>
        <w:ind w:left="86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5803"/>
    <w:multiLevelType w:val="hybridMultilevel"/>
    <w:tmpl w:val="52BA1A94"/>
    <w:lvl w:ilvl="0" w:tplc="248ED5D8">
      <w:start w:val="1"/>
      <w:numFmt w:val="bullet"/>
      <w:lvlText w:val=""/>
      <w:lvlJc w:val="left"/>
      <w:pPr>
        <w:ind w:left="86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401A61C0"/>
    <w:multiLevelType w:val="hybridMultilevel"/>
    <w:tmpl w:val="85406F82"/>
    <w:lvl w:ilvl="0" w:tplc="4D8A09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5206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5858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B238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2CE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0D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E2DA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5EF5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926C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C1C80"/>
    <w:multiLevelType w:val="hybridMultilevel"/>
    <w:tmpl w:val="29E0D994"/>
    <w:lvl w:ilvl="0" w:tplc="6CDA6690">
      <w:start w:val="1"/>
      <w:numFmt w:val="bullet"/>
      <w:lvlText w:val=""/>
      <w:lvlJc w:val="left"/>
      <w:pPr>
        <w:ind w:left="86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72113495"/>
    <w:multiLevelType w:val="hybridMultilevel"/>
    <w:tmpl w:val="06287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5D"/>
    <w:rsid w:val="000414CD"/>
    <w:rsid w:val="00052743"/>
    <w:rsid w:val="000555B0"/>
    <w:rsid w:val="00063CF8"/>
    <w:rsid w:val="000A76C0"/>
    <w:rsid w:val="000B1739"/>
    <w:rsid w:val="001022D6"/>
    <w:rsid w:val="00157F8A"/>
    <w:rsid w:val="00166361"/>
    <w:rsid w:val="00181E20"/>
    <w:rsid w:val="001B4297"/>
    <w:rsid w:val="001D6734"/>
    <w:rsid w:val="00233B55"/>
    <w:rsid w:val="0026162A"/>
    <w:rsid w:val="00285228"/>
    <w:rsid w:val="002C1308"/>
    <w:rsid w:val="00342E3C"/>
    <w:rsid w:val="00350E2A"/>
    <w:rsid w:val="0037383A"/>
    <w:rsid w:val="00376733"/>
    <w:rsid w:val="00397116"/>
    <w:rsid w:val="003C2575"/>
    <w:rsid w:val="003D3C4C"/>
    <w:rsid w:val="003E6F06"/>
    <w:rsid w:val="003F09D9"/>
    <w:rsid w:val="0045787C"/>
    <w:rsid w:val="004766E8"/>
    <w:rsid w:val="004902DB"/>
    <w:rsid w:val="00492367"/>
    <w:rsid w:val="00527849"/>
    <w:rsid w:val="005639DE"/>
    <w:rsid w:val="005654CA"/>
    <w:rsid w:val="005862E3"/>
    <w:rsid w:val="005C3B06"/>
    <w:rsid w:val="00610902"/>
    <w:rsid w:val="0062161A"/>
    <w:rsid w:val="006B594A"/>
    <w:rsid w:val="006F73A2"/>
    <w:rsid w:val="00727FF3"/>
    <w:rsid w:val="00740F4F"/>
    <w:rsid w:val="007430A6"/>
    <w:rsid w:val="00775F65"/>
    <w:rsid w:val="007810F3"/>
    <w:rsid w:val="007F7008"/>
    <w:rsid w:val="008067C2"/>
    <w:rsid w:val="00842C88"/>
    <w:rsid w:val="008559E6"/>
    <w:rsid w:val="0088166E"/>
    <w:rsid w:val="008E46CA"/>
    <w:rsid w:val="008F3D19"/>
    <w:rsid w:val="00930EEC"/>
    <w:rsid w:val="009956B3"/>
    <w:rsid w:val="009A1E1C"/>
    <w:rsid w:val="009B21E8"/>
    <w:rsid w:val="009D6B57"/>
    <w:rsid w:val="009E2BB0"/>
    <w:rsid w:val="009E7F5D"/>
    <w:rsid w:val="00A070D4"/>
    <w:rsid w:val="00A37789"/>
    <w:rsid w:val="00A41563"/>
    <w:rsid w:val="00A4306D"/>
    <w:rsid w:val="00A441E8"/>
    <w:rsid w:val="00A825E2"/>
    <w:rsid w:val="00A84575"/>
    <w:rsid w:val="00A84A79"/>
    <w:rsid w:val="00AA37BD"/>
    <w:rsid w:val="00AB10E6"/>
    <w:rsid w:val="00B0284A"/>
    <w:rsid w:val="00B06F3B"/>
    <w:rsid w:val="00B159F1"/>
    <w:rsid w:val="00B539F7"/>
    <w:rsid w:val="00B5456F"/>
    <w:rsid w:val="00B643B8"/>
    <w:rsid w:val="00B707DE"/>
    <w:rsid w:val="00B80774"/>
    <w:rsid w:val="00B82D0E"/>
    <w:rsid w:val="00B96333"/>
    <w:rsid w:val="00BA3C93"/>
    <w:rsid w:val="00BA70FD"/>
    <w:rsid w:val="00BC2541"/>
    <w:rsid w:val="00C012D0"/>
    <w:rsid w:val="00C17E70"/>
    <w:rsid w:val="00C6297C"/>
    <w:rsid w:val="00C85D05"/>
    <w:rsid w:val="00C94BE1"/>
    <w:rsid w:val="00C97F8E"/>
    <w:rsid w:val="00CA7E09"/>
    <w:rsid w:val="00CF02B0"/>
    <w:rsid w:val="00D16275"/>
    <w:rsid w:val="00D22900"/>
    <w:rsid w:val="00D53BEE"/>
    <w:rsid w:val="00D732EC"/>
    <w:rsid w:val="00DB4F4B"/>
    <w:rsid w:val="00DD3438"/>
    <w:rsid w:val="00DE4FE8"/>
    <w:rsid w:val="00DF2BF0"/>
    <w:rsid w:val="00E6205B"/>
    <w:rsid w:val="00EA3876"/>
    <w:rsid w:val="00EA6079"/>
    <w:rsid w:val="00EC23A4"/>
    <w:rsid w:val="00EE78F7"/>
    <w:rsid w:val="00EF1A8E"/>
    <w:rsid w:val="00F260ED"/>
    <w:rsid w:val="00F26E85"/>
    <w:rsid w:val="00F55F05"/>
    <w:rsid w:val="00FA4D2D"/>
    <w:rsid w:val="00FF2B25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67FFFC45"/>
  <w15:chartTrackingRefBased/>
  <w15:docId w15:val="{504CBCC1-BE36-4704-937B-561463AC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654CA"/>
    <w:pPr>
      <w:spacing w:after="12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297"/>
    <w:pPr>
      <w:outlineLvl w:val="0"/>
    </w:pPr>
    <w:rPr>
      <w:rFonts w:cs="Arial"/>
      <w:b/>
      <w:color w:val="2B5A85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0ED"/>
    <w:pPr>
      <w:keepNext/>
      <w:keepLines/>
      <w:spacing w:before="240" w:after="0"/>
      <w:outlineLvl w:val="1"/>
    </w:pPr>
    <w:rPr>
      <w:rFonts w:eastAsiaTheme="majorEastAsia" w:cstheme="majorBidi"/>
      <w:b/>
      <w:color w:val="365F9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876"/>
    <w:pPr>
      <w:keepNext/>
      <w:keepLines/>
      <w:spacing w:before="200" w:after="0"/>
      <w:outlineLvl w:val="2"/>
    </w:pPr>
    <w:rPr>
      <w:rFonts w:eastAsiaTheme="majorEastAsia" w:cstheme="majorBidi"/>
      <w:b/>
      <w:i/>
      <w:color w:val="2B5A85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6C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6C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6B5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6B57"/>
  </w:style>
  <w:style w:type="paragraph" w:styleId="Footer">
    <w:name w:val="footer"/>
    <w:basedOn w:val="Normal"/>
    <w:link w:val="FooterChar"/>
    <w:uiPriority w:val="99"/>
    <w:unhideWhenUsed/>
    <w:rsid w:val="009D6B5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6B57"/>
  </w:style>
  <w:style w:type="character" w:customStyle="1" w:styleId="Heading1Char">
    <w:name w:val="Heading 1 Char"/>
    <w:basedOn w:val="DefaultParagraphFont"/>
    <w:link w:val="Heading1"/>
    <w:uiPriority w:val="9"/>
    <w:rsid w:val="001B4297"/>
    <w:rPr>
      <w:rFonts w:ascii="Arial" w:hAnsi="Arial" w:cs="Arial"/>
      <w:b/>
      <w:color w:val="2B5A85"/>
      <w:sz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B57"/>
    <w:pPr>
      <w:spacing w:after="0"/>
    </w:pPr>
    <w:rPr>
      <w:rFonts w:cs="Arial"/>
      <w:color w:val="2B5A85"/>
    </w:rPr>
  </w:style>
  <w:style w:type="character" w:customStyle="1" w:styleId="SubtitleChar">
    <w:name w:val="Subtitle Char"/>
    <w:basedOn w:val="DefaultParagraphFont"/>
    <w:link w:val="Subtitle"/>
    <w:uiPriority w:val="11"/>
    <w:rsid w:val="009D6B57"/>
    <w:rPr>
      <w:rFonts w:ascii="Arial" w:hAnsi="Arial" w:cs="Arial"/>
      <w:color w:val="2B5A85"/>
      <w:sz w:val="24"/>
    </w:rPr>
  </w:style>
  <w:style w:type="paragraph" w:customStyle="1" w:styleId="CECOLetter">
    <w:name w:val="CECO Letter"/>
    <w:basedOn w:val="Normal"/>
    <w:qFormat/>
    <w:rsid w:val="00C012D0"/>
    <w:pPr>
      <w:spacing w:after="240" w:line="280" w:lineRule="exact"/>
    </w:pPr>
    <w:rPr>
      <w:rFonts w:cs="Arial"/>
      <w:color w:val="FFFFFF" w:themeColor="background1"/>
      <w:sz w:val="20"/>
    </w:rPr>
  </w:style>
  <w:style w:type="paragraph" w:customStyle="1" w:styleId="NewsletterTitle">
    <w:name w:val="Newsletter Title"/>
    <w:basedOn w:val="Normal"/>
    <w:qFormat/>
    <w:rsid w:val="00B96333"/>
    <w:pPr>
      <w:spacing w:after="0"/>
    </w:pPr>
    <w:rPr>
      <w:b/>
      <w:color w:val="2B5A85"/>
      <w:sz w:val="72"/>
    </w:rPr>
  </w:style>
  <w:style w:type="character" w:customStyle="1" w:styleId="Heading2Char">
    <w:name w:val="Heading 2 Char"/>
    <w:basedOn w:val="DefaultParagraphFont"/>
    <w:link w:val="Heading2"/>
    <w:uiPriority w:val="9"/>
    <w:rsid w:val="00F260ED"/>
    <w:rPr>
      <w:rFonts w:ascii="Arial" w:eastAsiaTheme="majorEastAsia" w:hAnsi="Arial" w:cstheme="majorBidi"/>
      <w:b/>
      <w:color w:val="365F91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3876"/>
    <w:rPr>
      <w:rFonts w:ascii="Arial" w:eastAsiaTheme="majorEastAsia" w:hAnsi="Arial" w:cstheme="majorBidi"/>
      <w:b/>
      <w:i/>
      <w:color w:val="2B5A85"/>
      <w:szCs w:val="24"/>
    </w:rPr>
  </w:style>
  <w:style w:type="character" w:styleId="Hyperlink">
    <w:name w:val="Hyperlink"/>
    <w:basedOn w:val="DefaultParagraphFont"/>
    <w:uiPriority w:val="99"/>
    <w:unhideWhenUsed/>
    <w:rsid w:val="00F260E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740F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0F4F"/>
    <w:rPr>
      <w:rFonts w:eastAsiaTheme="minorEastAsia"/>
    </w:rPr>
  </w:style>
  <w:style w:type="table" w:styleId="TableGrid">
    <w:name w:val="Table Grid"/>
    <w:basedOn w:val="TableNormal"/>
    <w:uiPriority w:val="59"/>
    <w:rsid w:val="00C01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x1">
    <w:name w:val="Text box 1"/>
    <w:basedOn w:val="Normal"/>
    <w:link w:val="Textbox1Char"/>
    <w:qFormat/>
    <w:rsid w:val="000414CD"/>
    <w:pPr>
      <w:spacing w:line="260" w:lineRule="exact"/>
    </w:pPr>
    <w:rPr>
      <w:sz w:val="20"/>
    </w:rPr>
  </w:style>
  <w:style w:type="paragraph" w:customStyle="1" w:styleId="TextBox1Title">
    <w:name w:val="Text Box 1 Title"/>
    <w:basedOn w:val="Heading2"/>
    <w:link w:val="TextBox1TitleChar"/>
    <w:qFormat/>
    <w:rsid w:val="007430A6"/>
    <w:pPr>
      <w:spacing w:before="120" w:after="120"/>
      <w:ind w:left="158" w:right="259"/>
    </w:pPr>
    <w:rPr>
      <w:color w:val="FFFFFF" w:themeColor="background1"/>
    </w:rPr>
  </w:style>
  <w:style w:type="character" w:customStyle="1" w:styleId="Textbox1Char">
    <w:name w:val="Text box 1 Char"/>
    <w:basedOn w:val="DefaultParagraphFont"/>
    <w:link w:val="Textbox1"/>
    <w:rsid w:val="000414CD"/>
    <w:rPr>
      <w:rFonts w:ascii="Arial" w:hAnsi="Arial"/>
      <w:sz w:val="20"/>
    </w:rPr>
  </w:style>
  <w:style w:type="character" w:customStyle="1" w:styleId="TextBox1TitleChar">
    <w:name w:val="Text Box 1 Title Char"/>
    <w:basedOn w:val="Heading2Char"/>
    <w:link w:val="TextBox1Title"/>
    <w:rsid w:val="007430A6"/>
    <w:rPr>
      <w:rFonts w:ascii="Arial" w:eastAsiaTheme="majorEastAsia" w:hAnsi="Arial" w:cstheme="majorBidi"/>
      <w:b/>
      <w:color w:val="FFFFFF" w:themeColor="background1"/>
      <w:sz w:val="32"/>
      <w:szCs w:val="26"/>
    </w:rPr>
  </w:style>
  <w:style w:type="paragraph" w:styleId="ListParagraph">
    <w:name w:val="List Paragraph"/>
    <w:basedOn w:val="Normal"/>
    <w:uiPriority w:val="34"/>
    <w:rsid w:val="00A07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2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57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4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33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4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29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i-global-conduct.com/integrity/exercising-due-diligence/" TargetMode="External"/><Relationship Id="rId13" Type="http://schemas.openxmlformats.org/officeDocument/2006/relationships/footer" Target="footer2.xml"/><Relationship Id="rId18" Type="http://schemas.openxmlformats.org/officeDocument/2006/relationships/hyperlink" Target="http://web.worldbank.org/external/default/main?theSitePK=84266&amp;contentMDK=64069844&amp;menuPK=116730&amp;pagePK=64148989&amp;piPK=6414898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eb.worldbank.org/external/default/main?theSitePK=84266&amp;contentMDK=64069844&amp;menuPK=116730&amp;pagePK=64148989&amp;piPK=64148984" TargetMode="External"/><Relationship Id="rId7" Type="http://schemas.openxmlformats.org/officeDocument/2006/relationships/hyperlink" Target="http://dai-global-conduct.com/integrity/exercising-due-diligence/" TargetMode="External"/><Relationship Id="rId12" Type="http://schemas.openxmlformats.org/officeDocument/2006/relationships/header" Target="header3.xml"/><Relationship Id="rId17" Type="http://schemas.openxmlformats.org/officeDocument/2006/relationships/hyperlink" Target="https://sanctionssearch.ofac.treas.go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am.gov/portal/SAM/?portal:componentId=31be779b-ffb7-4907-b7b1-e74a85af25d6&amp;interactionstate=JBPNS_rO0ABXc0ABBfanNmQnJpZGdlVmlld0lkAAAAAQATL2pzZi9mdW5jdGlvbmFsLmpzcAAHX19FT0ZfXw**&amp;portal:type=action" TargetMode="External"/><Relationship Id="rId20" Type="http://schemas.openxmlformats.org/officeDocument/2006/relationships/hyperlink" Target="https://sanctionssearch.ofac.treas.gov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www.sam.gov/portal/SAM/?portal:componentId=31be779b-ffb7-4907-b7b1-e74a85af25d6&amp;interactionstate=JBPNS_rO0ABXc0ABBfanNmQnJpZGdlVmlld0lkAAAAAQATL2pzZi9mdW5jdGlvbmFsLmpzcAAHX19FT0ZfXw**&amp;portal:type=action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909</Words>
  <Characters>5184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 Fehervari</dc:creator>
  <cp:keywords/>
  <dc:description/>
  <cp:lastModifiedBy>Judit Fehervari</cp:lastModifiedBy>
  <cp:revision>2</cp:revision>
  <cp:lastPrinted>2017-05-02T21:07:00Z</cp:lastPrinted>
  <dcterms:created xsi:type="dcterms:W3CDTF">2017-05-03T17:02:00Z</dcterms:created>
  <dcterms:modified xsi:type="dcterms:W3CDTF">2017-05-03T17:02:00Z</dcterms:modified>
</cp:coreProperties>
</file>