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5B" w:rsidRDefault="00B5355B" w:rsidP="00B5355B">
      <w:pPr>
        <w:pStyle w:val="Heading1"/>
      </w:pPr>
      <w:r>
        <w:t>Examples of fraud</w:t>
      </w:r>
    </w:p>
    <w:p w:rsidR="00B5355B" w:rsidRDefault="00B5355B" w:rsidP="00B5355B">
      <w:pPr>
        <w:autoSpaceDE w:val="0"/>
        <w:autoSpaceDN w:val="0"/>
        <w:adjustRightInd w:val="0"/>
        <w:spacing w:after="120" w:line="240" w:lineRule="auto"/>
        <w:rPr>
          <w:rFonts w:ascii="Lucida Sans" w:hAnsi="Lucida Sans" w:cs="Lucida Sans"/>
          <w:color w:val="000000"/>
          <w:sz w:val="24"/>
          <w:szCs w:val="24"/>
        </w:rPr>
      </w:pP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False or inflated hotel receipts for reimbursement under a travel voucher</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False information on an EBD salary history form</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Falsified inventory records</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Inflating data for a more favorable report or evaluation</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Denial of existence of historical record that actually exists</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Phantom bidders and contractors</w:t>
      </w:r>
    </w:p>
    <w:p w:rsidR="00235498" w:rsidRDefault="00235498"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Product substitution – construction material that is not up to the quality specified in the contract, seed that does not meet certified quality, pirated software.</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 xml:space="preserve">Inflated timesheets </w:t>
      </w:r>
    </w:p>
    <w:p w:rsidR="00B5355B" w:rsidRDefault="00B5355B" w:rsidP="00B5355B">
      <w:pPr>
        <w:numPr>
          <w:ilvl w:val="0"/>
          <w:numId w:val="1"/>
        </w:numPr>
        <w:autoSpaceDE w:val="0"/>
        <w:autoSpaceDN w:val="0"/>
        <w:adjustRightInd w:val="0"/>
        <w:spacing w:after="120" w:line="240" w:lineRule="auto"/>
        <w:ind w:left="1800" w:hanging="360"/>
        <w:rPr>
          <w:rFonts w:ascii="Lucida Sans" w:hAnsi="Lucida Sans" w:cs="Lucida Sans"/>
          <w:color w:val="000000"/>
          <w:sz w:val="24"/>
          <w:szCs w:val="24"/>
        </w:rPr>
      </w:pPr>
      <w:r>
        <w:rPr>
          <w:rFonts w:ascii="Lucida Sans" w:hAnsi="Lucida Sans" w:cs="Lucida Sans"/>
          <w:color w:val="000000"/>
          <w:sz w:val="24"/>
          <w:szCs w:val="24"/>
        </w:rPr>
        <w:t xml:space="preserve">Product substitution, such as poor quality seed instead of certified seed, construction material that does not meet contract specifications, prohibited </w:t>
      </w:r>
      <w:proofErr w:type="gramStart"/>
      <w:r>
        <w:rPr>
          <w:rFonts w:ascii="Lucida Sans" w:hAnsi="Lucida Sans" w:cs="Lucida Sans"/>
          <w:color w:val="000000"/>
          <w:sz w:val="24"/>
          <w:szCs w:val="24"/>
        </w:rPr>
        <w:t>sources,</w:t>
      </w:r>
      <w:proofErr w:type="gramEnd"/>
      <w:r>
        <w:rPr>
          <w:rFonts w:ascii="Lucida Sans" w:hAnsi="Lucida Sans" w:cs="Lucida Sans"/>
          <w:color w:val="000000"/>
          <w:sz w:val="24"/>
          <w:szCs w:val="24"/>
        </w:rPr>
        <w:t xml:space="preserve"> used equipment when new was purchased.</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Rigging specifications to favor a particular company or supplier</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Change order abuse – A contractor wins with a low bid then increases price and profits through change order requests.  Unjustified or inflated change orders</w:t>
      </w:r>
      <w:r w:rsidR="00235498">
        <w:rPr>
          <w:rFonts w:ascii="Lucida Sans" w:hAnsi="Lucida Sans" w:cs="Lucida Sans"/>
          <w:color w:val="000000"/>
          <w:sz w:val="24"/>
          <w:szCs w:val="24"/>
        </w:rPr>
        <w:t xml:space="preserve"> are especially a concern.</w:t>
      </w:r>
    </w:p>
    <w:p w:rsidR="00B5355B" w:rsidRDefault="00B5355B" w:rsidP="00B5355B">
      <w:pPr>
        <w:numPr>
          <w:ilvl w:val="0"/>
          <w:numId w:val="1"/>
        </w:numPr>
        <w:autoSpaceDE w:val="0"/>
        <w:autoSpaceDN w:val="0"/>
        <w:adjustRightInd w:val="0"/>
        <w:spacing w:after="120" w:line="240" w:lineRule="auto"/>
        <w:ind w:left="1080" w:hanging="360"/>
        <w:rPr>
          <w:rFonts w:ascii="Lucida Sans" w:hAnsi="Lucida Sans" w:cs="Lucida Sans"/>
          <w:color w:val="000000"/>
          <w:sz w:val="24"/>
          <w:szCs w:val="24"/>
        </w:rPr>
      </w:pPr>
      <w:r>
        <w:rPr>
          <w:rFonts w:ascii="Lucida Sans" w:hAnsi="Lucida Sans" w:cs="Lucida Sans"/>
          <w:color w:val="000000"/>
          <w:sz w:val="24"/>
          <w:szCs w:val="24"/>
        </w:rPr>
        <w:t>Collusion in bidding</w:t>
      </w:r>
      <w:r>
        <w:rPr>
          <w:rFonts w:ascii="Lucida Sans" w:hAnsi="Lucida Sans" w:cs="Lucida Sans"/>
          <w:color w:val="000000"/>
          <w:sz w:val="24"/>
          <w:szCs w:val="24"/>
        </w:rPr>
        <w:t xml:space="preserve"> (“bid rigging”) – Two or more bidders secretly agree to submit high bids to allow a pre-selected bidder to win contracts to divide work or otherwise defeat the competitive process.</w:t>
      </w:r>
    </w:p>
    <w:p w:rsidR="00B5355B" w:rsidRDefault="00B5355B" w:rsidP="00B5355B">
      <w:pPr>
        <w:pStyle w:val="ListParagraph"/>
        <w:numPr>
          <w:ilvl w:val="0"/>
          <w:numId w:val="1"/>
        </w:numPr>
        <w:autoSpaceDE w:val="0"/>
        <w:autoSpaceDN w:val="0"/>
        <w:adjustRightInd w:val="0"/>
        <w:spacing w:after="120" w:line="240" w:lineRule="auto"/>
        <w:ind w:left="1440"/>
        <w:rPr>
          <w:rFonts w:ascii="Lucida Sans" w:hAnsi="Lucida Sans" w:cs="Lucida Sans"/>
          <w:color w:val="000000"/>
          <w:sz w:val="24"/>
          <w:szCs w:val="24"/>
        </w:rPr>
      </w:pPr>
      <w:r>
        <w:rPr>
          <w:rFonts w:ascii="Lucida Sans" w:hAnsi="Lucida Sans" w:cs="Lucida Sans"/>
          <w:color w:val="000000"/>
          <w:sz w:val="24"/>
          <w:szCs w:val="24"/>
        </w:rPr>
        <w:t>Indicators include:</w:t>
      </w:r>
    </w:p>
    <w:p w:rsidR="00B5355B" w:rsidRDefault="00B5355B" w:rsidP="00B5355B">
      <w:pPr>
        <w:pStyle w:val="ListParagraph"/>
        <w:numPr>
          <w:ilvl w:val="0"/>
          <w:numId w:val="1"/>
        </w:numPr>
        <w:autoSpaceDE w:val="0"/>
        <w:autoSpaceDN w:val="0"/>
        <w:adjustRightInd w:val="0"/>
        <w:spacing w:after="120" w:line="240" w:lineRule="auto"/>
        <w:ind w:left="2160"/>
        <w:rPr>
          <w:rFonts w:ascii="Lucida Sans" w:hAnsi="Lucida Sans" w:cs="Lucida Sans"/>
          <w:color w:val="000000"/>
          <w:sz w:val="24"/>
          <w:szCs w:val="24"/>
        </w:rPr>
      </w:pPr>
      <w:r>
        <w:rPr>
          <w:rFonts w:ascii="Lucida Sans" w:hAnsi="Lucida Sans" w:cs="Lucida Sans"/>
          <w:color w:val="000000"/>
          <w:sz w:val="24"/>
          <w:szCs w:val="24"/>
        </w:rPr>
        <w:t xml:space="preserve"> Persistent high prices over time compared to DAI estimates, market surveys, similar work,</w:t>
      </w:r>
    </w:p>
    <w:p w:rsidR="00B5355B" w:rsidRDefault="00B5355B" w:rsidP="00B5355B">
      <w:pPr>
        <w:pStyle w:val="ListParagraph"/>
        <w:numPr>
          <w:ilvl w:val="0"/>
          <w:numId w:val="1"/>
        </w:numPr>
        <w:autoSpaceDE w:val="0"/>
        <w:autoSpaceDN w:val="0"/>
        <w:adjustRightInd w:val="0"/>
        <w:spacing w:after="120" w:line="240" w:lineRule="auto"/>
        <w:ind w:left="2160"/>
        <w:rPr>
          <w:rFonts w:ascii="Lucida Sans" w:hAnsi="Lucida Sans" w:cs="Lucida Sans"/>
          <w:color w:val="000000"/>
          <w:sz w:val="24"/>
          <w:szCs w:val="24"/>
        </w:rPr>
      </w:pPr>
      <w:r>
        <w:rPr>
          <w:rFonts w:ascii="Lucida Sans" w:hAnsi="Lucida Sans" w:cs="Lucida Sans"/>
          <w:color w:val="000000"/>
          <w:sz w:val="24"/>
          <w:szCs w:val="24"/>
        </w:rPr>
        <w:t xml:space="preserve"> Rotation of winning bidders by job, type of work or region,</w:t>
      </w:r>
    </w:p>
    <w:p w:rsidR="00B5355B" w:rsidRDefault="00B5355B" w:rsidP="00B5355B">
      <w:pPr>
        <w:pStyle w:val="ListParagraph"/>
        <w:numPr>
          <w:ilvl w:val="0"/>
          <w:numId w:val="1"/>
        </w:numPr>
        <w:autoSpaceDE w:val="0"/>
        <w:autoSpaceDN w:val="0"/>
        <w:adjustRightInd w:val="0"/>
        <w:spacing w:after="120" w:line="240" w:lineRule="auto"/>
        <w:ind w:left="2160"/>
        <w:rPr>
          <w:rFonts w:ascii="Lucida Sans" w:hAnsi="Lucida Sans" w:cs="Lucida Sans"/>
          <w:color w:val="000000"/>
          <w:sz w:val="24"/>
          <w:szCs w:val="24"/>
        </w:rPr>
      </w:pPr>
      <w:r>
        <w:rPr>
          <w:rFonts w:ascii="Lucida Sans" w:hAnsi="Lucida Sans" w:cs="Lucida Sans"/>
          <w:color w:val="000000"/>
          <w:sz w:val="24"/>
          <w:szCs w:val="24"/>
        </w:rPr>
        <w:t xml:space="preserve"> Losing bidders become subcontractors on winning award,</w:t>
      </w:r>
    </w:p>
    <w:p w:rsidR="00B5355B" w:rsidRDefault="00B5355B" w:rsidP="00B5355B">
      <w:pPr>
        <w:pStyle w:val="ListParagraph"/>
        <w:numPr>
          <w:ilvl w:val="0"/>
          <w:numId w:val="1"/>
        </w:numPr>
        <w:autoSpaceDE w:val="0"/>
        <w:autoSpaceDN w:val="0"/>
        <w:adjustRightInd w:val="0"/>
        <w:spacing w:after="120" w:line="240" w:lineRule="auto"/>
        <w:ind w:left="2160"/>
        <w:rPr>
          <w:rFonts w:ascii="Lucida Sans" w:hAnsi="Lucida Sans" w:cs="Lucida Sans"/>
          <w:color w:val="000000"/>
          <w:sz w:val="24"/>
          <w:szCs w:val="24"/>
        </w:rPr>
      </w:pPr>
      <w:r>
        <w:rPr>
          <w:rFonts w:ascii="Lucida Sans" w:hAnsi="Lucida Sans" w:cs="Lucida Sans"/>
          <w:color w:val="000000"/>
          <w:sz w:val="24"/>
          <w:szCs w:val="24"/>
        </w:rPr>
        <w:t xml:space="preserve"> Unusual bid patters, such as too close, too consistent, too far apart, round numbers, identical to prior or other bids,</w:t>
      </w:r>
    </w:p>
    <w:p w:rsidR="00B5355B" w:rsidRDefault="00B5355B" w:rsidP="00B5355B">
      <w:pPr>
        <w:pStyle w:val="ListParagraph"/>
        <w:numPr>
          <w:ilvl w:val="0"/>
          <w:numId w:val="1"/>
        </w:numPr>
        <w:autoSpaceDE w:val="0"/>
        <w:autoSpaceDN w:val="0"/>
        <w:adjustRightInd w:val="0"/>
        <w:spacing w:after="120" w:line="240" w:lineRule="auto"/>
        <w:ind w:left="2160"/>
        <w:rPr>
          <w:rFonts w:ascii="Lucida Sans" w:hAnsi="Lucida Sans" w:cs="Lucida Sans"/>
          <w:color w:val="000000"/>
          <w:sz w:val="24"/>
          <w:szCs w:val="24"/>
        </w:rPr>
      </w:pPr>
      <w:r>
        <w:rPr>
          <w:rFonts w:ascii="Lucida Sans" w:hAnsi="Lucida Sans" w:cs="Lucida Sans"/>
          <w:color w:val="000000"/>
          <w:sz w:val="24"/>
          <w:szCs w:val="24"/>
        </w:rPr>
        <w:t xml:space="preserve"> Shared addresses, personnel, telephone numbers between bidders.</w:t>
      </w:r>
    </w:p>
    <w:p w:rsidR="00235498" w:rsidRDefault="00235498" w:rsidP="00235498">
      <w:pPr>
        <w:pStyle w:val="ListParagraph"/>
        <w:autoSpaceDE w:val="0"/>
        <w:autoSpaceDN w:val="0"/>
        <w:adjustRightInd w:val="0"/>
        <w:spacing w:after="120" w:line="240" w:lineRule="auto"/>
        <w:rPr>
          <w:rFonts w:ascii="Lucida Sans" w:hAnsi="Lucida Sans" w:cs="Lucida Sans"/>
          <w:color w:val="000000"/>
          <w:sz w:val="24"/>
          <w:szCs w:val="24"/>
        </w:rPr>
      </w:pPr>
    </w:p>
    <w:p w:rsidR="00B5355B" w:rsidRDefault="00B5355B" w:rsidP="00B5355B">
      <w:pPr>
        <w:autoSpaceDE w:val="0"/>
        <w:autoSpaceDN w:val="0"/>
        <w:adjustRightInd w:val="0"/>
        <w:spacing w:after="120" w:line="240" w:lineRule="auto"/>
        <w:ind w:left="360"/>
        <w:rPr>
          <w:rFonts w:ascii="Lucida Sans" w:hAnsi="Lucida Sans" w:cs="Lucida Sans"/>
          <w:b/>
          <w:bCs/>
          <w:color w:val="000000"/>
          <w:sz w:val="24"/>
          <w:szCs w:val="24"/>
        </w:rPr>
      </w:pPr>
      <w:r>
        <w:rPr>
          <w:rFonts w:ascii="Lucida Sans" w:hAnsi="Lucida Sans" w:cs="Lucida Sans"/>
          <w:b/>
          <w:bCs/>
          <w:color w:val="000000"/>
          <w:sz w:val="24"/>
          <w:szCs w:val="24"/>
        </w:rPr>
        <w:t xml:space="preserve">Scenario </w:t>
      </w:r>
    </w:p>
    <w:p w:rsidR="00B5355B" w:rsidRDefault="00B5355B" w:rsidP="00B5355B">
      <w:pPr>
        <w:autoSpaceDE w:val="0"/>
        <w:autoSpaceDN w:val="0"/>
        <w:adjustRightInd w:val="0"/>
        <w:spacing w:after="120" w:line="240" w:lineRule="auto"/>
        <w:ind w:left="360"/>
        <w:rPr>
          <w:rFonts w:ascii="Lucida Sans" w:hAnsi="Lucida Sans" w:cs="Lucida Sans"/>
          <w:color w:val="000000"/>
          <w:sz w:val="24"/>
          <w:szCs w:val="24"/>
        </w:rPr>
      </w:pPr>
      <w:r>
        <w:rPr>
          <w:rFonts w:ascii="Lucida Sans" w:hAnsi="Lucida Sans" w:cs="Lucida Sans"/>
          <w:b/>
          <w:bCs/>
          <w:color w:val="000000"/>
          <w:sz w:val="24"/>
          <w:szCs w:val="24"/>
        </w:rPr>
        <w:t>Question:</w:t>
      </w:r>
      <w:r>
        <w:rPr>
          <w:rFonts w:ascii="Lucida Sans" w:hAnsi="Lucida Sans" w:cs="Lucida Sans"/>
          <w:color w:val="000000"/>
          <w:sz w:val="24"/>
          <w:szCs w:val="24"/>
        </w:rPr>
        <w:t xml:space="preserve">  My colleague took everyone's payment to the hotel clerk, paid the bills and then gave us each a receipt for our travel voucher.  I now see that </w:t>
      </w:r>
      <w:r>
        <w:rPr>
          <w:rFonts w:ascii="Lucida Sans" w:hAnsi="Lucida Sans" w:cs="Lucida Sans"/>
          <w:color w:val="000000"/>
          <w:sz w:val="24"/>
          <w:szCs w:val="24"/>
        </w:rPr>
        <w:lastRenderedPageBreak/>
        <w:t>the receipt is for a higher amount than I paid.  I’m not sure what happened and I’m hesitant to ask.</w:t>
      </w:r>
    </w:p>
    <w:p w:rsidR="00B5355B" w:rsidRDefault="00B5355B" w:rsidP="00B5355B">
      <w:pPr>
        <w:autoSpaceDE w:val="0"/>
        <w:autoSpaceDN w:val="0"/>
        <w:adjustRightInd w:val="0"/>
        <w:spacing w:after="120" w:line="240" w:lineRule="auto"/>
        <w:ind w:left="360"/>
        <w:rPr>
          <w:rFonts w:ascii="Lucida Sans" w:hAnsi="Lucida Sans" w:cs="Lucida Sans"/>
          <w:color w:val="000000"/>
          <w:sz w:val="24"/>
          <w:szCs w:val="24"/>
        </w:rPr>
      </w:pPr>
      <w:r>
        <w:rPr>
          <w:rFonts w:ascii="Lucida Sans" w:hAnsi="Lucida Sans" w:cs="Lucida Sans"/>
          <w:b/>
          <w:bCs/>
          <w:color w:val="000000"/>
          <w:sz w:val="24"/>
          <w:szCs w:val="24"/>
        </w:rPr>
        <w:t>Answer:</w:t>
      </w:r>
      <w:r>
        <w:rPr>
          <w:rFonts w:ascii="Lucida Sans" w:hAnsi="Lucida Sans" w:cs="Lucida Sans"/>
          <w:color w:val="000000"/>
          <w:sz w:val="24"/>
          <w:szCs w:val="24"/>
        </w:rPr>
        <w:t xml:space="preserve">  A receipt that reflects more than the actual payment may suggest an attempt to commit fraud on a travel reimbursement voucher.  If you are uncertain or hesitant to talk with your colleague about it, then you should talk with your supervisor, Chief of Party/Team Leader, or their deputy.  You can also contact the Chief Ethics and Compliance Officer or the Ethics Hotline.  You are not expected to investigate such an issue.  Others in DAI will handle the inquiry and investigation.</w:t>
      </w:r>
    </w:p>
    <w:p w:rsidR="00235498" w:rsidRDefault="00235498" w:rsidP="00B5355B">
      <w:pPr>
        <w:autoSpaceDE w:val="0"/>
        <w:autoSpaceDN w:val="0"/>
        <w:adjustRightInd w:val="0"/>
        <w:spacing w:after="120" w:line="240" w:lineRule="auto"/>
        <w:ind w:left="360"/>
        <w:rPr>
          <w:rFonts w:ascii="Lucida Sans" w:hAnsi="Lucida Sans" w:cs="Lucida Sans"/>
          <w:color w:val="000000"/>
          <w:sz w:val="24"/>
          <w:szCs w:val="24"/>
        </w:rPr>
      </w:pPr>
    </w:p>
    <w:p w:rsidR="00235498" w:rsidRDefault="00235498" w:rsidP="00B5355B">
      <w:pPr>
        <w:autoSpaceDE w:val="0"/>
        <w:autoSpaceDN w:val="0"/>
        <w:adjustRightInd w:val="0"/>
        <w:spacing w:after="120" w:line="240" w:lineRule="auto"/>
        <w:ind w:left="360"/>
        <w:rPr>
          <w:rFonts w:ascii="Lucida Sans" w:hAnsi="Lucida Sans" w:cs="Lucida Sans"/>
          <w:color w:val="000000"/>
          <w:sz w:val="24"/>
          <w:szCs w:val="24"/>
        </w:rPr>
      </w:pPr>
      <w:bookmarkStart w:id="0" w:name="_GoBack"/>
      <w:bookmarkEnd w:id="0"/>
    </w:p>
    <w:p w:rsidR="00B5355B" w:rsidRDefault="00B5355B" w:rsidP="00B5355B">
      <w:pPr>
        <w:autoSpaceDE w:val="0"/>
        <w:autoSpaceDN w:val="0"/>
        <w:adjustRightInd w:val="0"/>
        <w:spacing w:after="0" w:line="240" w:lineRule="auto"/>
        <w:rPr>
          <w:rFonts w:ascii="Lucida Sans" w:hAnsi="Lucida Sans" w:cs="Lucida Sans"/>
          <w:color w:val="000000"/>
          <w:sz w:val="24"/>
          <w:szCs w:val="24"/>
        </w:rPr>
      </w:pPr>
    </w:p>
    <w:p w:rsidR="00B5355B" w:rsidRDefault="00B5355B" w:rsidP="00B5355B">
      <w:pPr>
        <w:autoSpaceDE w:val="0"/>
        <w:autoSpaceDN w:val="0"/>
        <w:adjustRightInd w:val="0"/>
        <w:spacing w:after="0" w:line="240" w:lineRule="auto"/>
        <w:rPr>
          <w:rFonts w:ascii="Helv" w:hAnsi="Helv" w:cs="Helv"/>
          <w:color w:val="000000"/>
          <w:sz w:val="18"/>
          <w:szCs w:val="18"/>
        </w:rPr>
      </w:pPr>
    </w:p>
    <w:p w:rsidR="00636F76" w:rsidRDefault="00636F76"/>
    <w:sectPr w:rsidR="0063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8E507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5B"/>
    <w:rsid w:val="00235498"/>
    <w:rsid w:val="00636F76"/>
    <w:rsid w:val="00B5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5B"/>
  </w:style>
  <w:style w:type="paragraph" w:styleId="Heading1">
    <w:name w:val="heading 1"/>
    <w:basedOn w:val="Normal"/>
    <w:next w:val="Normal"/>
    <w:link w:val="Heading1Char"/>
    <w:uiPriority w:val="9"/>
    <w:qFormat/>
    <w:rsid w:val="00B53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3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5B"/>
  </w:style>
  <w:style w:type="paragraph" w:styleId="Heading1">
    <w:name w:val="heading 1"/>
    <w:basedOn w:val="Normal"/>
    <w:next w:val="Normal"/>
    <w:link w:val="Heading1Char"/>
    <w:uiPriority w:val="9"/>
    <w:qFormat/>
    <w:rsid w:val="00B535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3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MWalsh</dc:creator>
  <cp:lastModifiedBy>MWalsh</cp:lastModifiedBy>
  <cp:revision>1</cp:revision>
  <dcterms:created xsi:type="dcterms:W3CDTF">2015-05-22T15:53:00Z</dcterms:created>
  <dcterms:modified xsi:type="dcterms:W3CDTF">2015-05-22T16:08:00Z</dcterms:modified>
</cp:coreProperties>
</file>