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>
  <w:body>
    <w:p>
      <w:r>
        <w:rPr>
          <w:b w:val="true"/>
          <w:sz w:val="48"/>
        </w:rPr>
        <w:t>CineCube Report</w:t>
        <w:br/>
      </w:r>
      <w:r>
        <w:t>This is a report on the Avg of hours_per_week when education is fixed to 'Post-Secondary' and work is fixed to 'With-Pay'. We will start by answering the original query and we complement the result with contextualization and detailed analyses.</w:t>
        <w:br/>
      </w:r>
    </w:p>
    <w:p>
      <w:r>
        <w:rPr>
          <w:b w:val="true"/>
          <w:sz w:val="24"/>
        </w:rPr>
        <w:t>Answer to the original question</w:t>
        <w:br/>
      </w:r>
      <w:r/>
    </w:p>
    <w:tbl>
      <w:tblPr>
        <w:tblW w:w="5000" w:type="pct"/>
        <w:jc w:val="righ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/>
        </w:tc>
      </w:tr>
      <w:tr>
        <w:tc>
          <w:p/>
        </w:tc>
        <w:tc>
          <w:p/>
          <w:p>
            <w:pPr>
              <w:jc w:val="left"/>
              <w:textAlignment w:val="center"/>
            </w:pPr>
            <w:r>
              <w:rPr>
                <w:rFonts w:ascii="Calibri"/>
                <w:color w:val="000000"/>
                <w:sz w:val="24"/>
              </w:rPr>
              <w:t/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Assoc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Post-grad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Some-college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University</w:t>
            </w:r>
          </w:p>
        </w:tc>
      </w:tr>
      <w:tr>
        <w:tc>
          <w:p/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Gov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FF"/>
                <w:sz w:val="24"/>
              </w:rPr>
              <w:t>40.73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43.58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FF"/>
                <w:sz w:val="24"/>
              </w:rPr>
              <w:t>38.38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42.14</w:t>
            </w:r>
          </w:p>
        </w:tc>
      </w:tr>
      <w:tr>
        <w:tc>
          <w:p/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Private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41.06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45.19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FF"/>
                <w:sz w:val="24"/>
              </w:rPr>
              <w:t>38.73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43.06</w:t>
            </w:r>
          </w:p>
        </w:tc>
      </w:tr>
      <w:tr>
        <w:tc>
          <w:p/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Self-emp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FF0000"/>
                <w:sz w:val="24"/>
              </w:rPr>
              <w:t>46.68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FF0000"/>
                <w:sz w:val="24"/>
              </w:rPr>
              <w:t>47.24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45.70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FF0000"/>
                <w:sz w:val="24"/>
              </w:rPr>
              <w:t>46.61</w:t>
            </w:r>
          </w:p>
        </w:tc>
      </w:tr>
    </w:tbl>
    <w:p>
      <w:r>
        <w:rPr>
          <w:sz w:val="24"/>
        </w:rPr>
        <w:t>Here, you can see the answer of the original query. You have specified education to be equal to 'Post-Secondary', and work to be equal to 'With-Pay'. We report on Avg of hours_per_week grouped by education at level 2, and work at level 1 .</w:t>
        <w:br/>
        <w:t xml:space="preserve">You can observe the results in this table. We highlight the largest values with red and the lowest values with blue color. </w:t>
        <w:br/>
        <w:t>Column Some-college has 2 of the 3 lowest values.</w:t>
        <w:br/>
        <w:t>Row Self-emp has 3 of the 3 highest values.</w:t>
        <w:br/>
        <w:t>Row Gov has 2 of the 3 lowest values.</w:t>
        <w:br/>
        <w:t>Row Private has 1 of the 3 lowest values.</w:t>
        <w:br/>
      </w:r>
    </w:p>
    <w:p>
      <w:r>
        <w:rPr>
          <w:b w:val="true"/>
          <w:sz w:val="48"/>
        </w:rPr>
        <w:t>Act I: Putting results in context</w:t>
        <w:br/>
      </w:r>
      <w:r>
        <w:t>In this series of slides we put the original result in context, by comparing the behavior of its defining values with the behavior of values that are similar to them.</w:t>
        <w:br/>
      </w:r>
    </w:p>
    <w:p>
      <w:r>
        <w:rPr>
          <w:b w:val="true"/>
          <w:sz w:val="24"/>
        </w:rPr>
        <w:t>Assessing the behavior of education</w:t>
        <w:br/>
      </w:r>
      <w:r/>
    </w:p>
    <w:tbl>
      <w:tblPr>
        <w:tblW w:w="5000" w:type="pct"/>
        <w:jc w:val="righ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/>
        </w:tc>
      </w:tr>
      <w:tr>
        <w:tc>
          <w:p/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 xml:space="preserve"> Summary for education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b w:val="true"/>
                <w:color w:val="000000"/>
                <w:sz w:val="24"/>
              </w:rPr>
              <w:t>Post-Secondary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Without-Post-Secondary</w:t>
            </w:r>
          </w:p>
        </w:tc>
      </w:tr>
      <w:tr>
        <w:tc>
          <w:p/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Gov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b w:val="true"/>
                <w:color w:val="000000"/>
                <w:sz w:val="24"/>
              </w:rPr>
              <w:t>41.12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FF"/>
                <w:sz w:val="24"/>
              </w:rPr>
              <w:t>38.97</w:t>
            </w:r>
          </w:p>
        </w:tc>
      </w:tr>
      <w:tr>
        <w:tc>
          <w:p/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Private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b w:val="true"/>
                <w:color w:val="000000"/>
                <w:sz w:val="24"/>
              </w:rPr>
              <w:t>41.06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39.40</w:t>
            </w:r>
          </w:p>
        </w:tc>
      </w:tr>
      <w:tr>
        <w:tc>
          <w:p/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Self-emp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b w:val="true"/>
                <w:color w:val="FF0000"/>
                <w:sz w:val="24"/>
              </w:rPr>
              <w:t>46.39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44.84</w:t>
            </w:r>
          </w:p>
        </w:tc>
      </w:tr>
    </w:tbl>
    <w:p>
      <w:r>
        <w:rPr>
          <w:sz w:val="24"/>
        </w:rPr>
        <w:t>In this graphic, we put the original request in context by comparing the value 'Post-Secondary' for education at level 3 with its sibling values. We highlight the reference cells with bold, the highest value with red and the lowest value with blue color. We calculate the Avg of hours_per_week while fixing education at level 4 to be equal to ''ALL'', and work at level 2 to be equal to ''With-Pay''.</w:t>
        <w:br/>
        <w:t>Compared to its sibling we observe that in 3 out of 3 cases Post-Secondary has higher value than Without-Post-Secondary.</w:t>
        <w:br/>
      </w:r>
    </w:p>
    <w:p>
      <w:r>
        <w:rPr>
          <w:b w:val="true"/>
          <w:sz w:val="24"/>
        </w:rPr>
        <w:t>Assessing the behavior of work</w:t>
        <w:br/>
      </w:r>
      <w:r/>
    </w:p>
    <w:tbl>
      <w:tblPr>
        <w:tblW w:w="5000" w:type="pct"/>
        <w:jc w:val="righ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/>
        </w:tc>
      </w:tr>
      <w:tr>
        <w:tc>
          <w:p/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 xml:space="preserve"> Summary for work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Assoc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Post-grad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Some-college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University</w:t>
            </w:r>
          </w:p>
        </w:tc>
      </w:tr>
      <w:tr>
        <w:tc>
          <w:p/>
        </w:tc>
        <w:tc>
          <w:p/>
          <w:p>
            <w:pPr>
              <w:jc w:val="left"/>
            </w:pPr>
            <w:r>
              <w:rPr>
                <w:rFonts w:ascii="Calibri"/>
                <w:b w:val="true"/>
                <w:color w:val="000000"/>
                <w:sz w:val="24"/>
              </w:rPr>
              <w:t>With-Pay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b w:val="true"/>
                <w:color w:val="000000"/>
                <w:sz w:val="24"/>
              </w:rPr>
              <w:t>41.62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b w:val="true"/>
                <w:color w:val="000000"/>
                <w:sz w:val="24"/>
              </w:rPr>
              <w:t>44.91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b w:val="true"/>
                <w:color w:val="000000"/>
                <w:sz w:val="24"/>
              </w:rPr>
              <w:t>39.41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b w:val="true"/>
                <w:color w:val="000000"/>
                <w:sz w:val="24"/>
              </w:rPr>
              <w:t>43.44</w:t>
            </w:r>
          </w:p>
        </w:tc>
      </w:tr>
      <w:tr>
        <w:tc>
          <w:p/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Without-pay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FF0000"/>
                <w:sz w:val="24"/>
              </w:rPr>
              <w:t>50.00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-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FF"/>
                <w:sz w:val="24"/>
              </w:rPr>
              <w:t>35.33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-</w:t>
            </w:r>
          </w:p>
        </w:tc>
      </w:tr>
    </w:tbl>
    <w:p>
      <w:r>
        <w:rPr>
          <w:sz w:val="24"/>
        </w:rPr>
        <w:t>In this graphic, we put the original request in context by comparing the value 'With-Pay' for work at level 2 with its sibling values. We highlight the reference cells with bold, the highest value with red and the lowest value with blue color. We calculate the Avg of hours_per_week while fixing education at level 3 to be equal to ''Post-Secondary'', and work at level 3 to be equal to ''ALL''.</w:t>
        <w:br/>
        <w:t>Compared to its sibling we observe that in 1 out of 4 cases With-Pay has a higher value than Without-pay.</w:t>
        <w:br/>
        <w:t>In 1 out of 4 cases With-Pay has a lower value than Without-pay.</w:t>
        <w:br/>
        <w:t>In 2 out of 4 cases Without-pay has null value.</w:t>
        <w:br/>
      </w:r>
    </w:p>
    <w:p>
      <w:r>
        <w:rPr>
          <w:b w:val="true"/>
          <w:sz w:val="48"/>
        </w:rPr>
        <w:t>Act II: Explaining results</w:t>
        <w:br/>
      </w:r>
      <w:r>
        <w:t>In this series of slides we will present a detailed analysis of the values involved in the result of the original query. To this end, we drill-down the hierarchy of grouping levels of the result to one level of aggregation lower, whenever this is possible.</w:t>
        <w:br/>
      </w:r>
    </w:p>
    <w:p>
      <w:r>
        <w:rPr>
          <w:b w:val="true"/>
          <w:sz w:val="24"/>
        </w:rPr>
        <w:t>Drilling down the Rows of the Original Result</w:t>
        <w:br/>
      </w:r>
      <w:r/>
    </w:p>
    <w:tbl>
      <w:tblPr>
        <w:tblW w:w="5000" w:type="pct"/>
        <w:jc w:val="righ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/>
        </w:tc>
      </w:tr>
      <w:tr>
        <w:tc>
          <w:p/>
        </w:tc>
        <w:tc>
          <w:p/>
          <w:p>
            <w:pPr>
              <w:jc w:val="left"/>
            </w:pPr>
            <w:r>
              <w:rPr>
                <w:rFonts w:ascii="Calibri"/>
                <w:i w:val="true"/>
                <w:color w:val="000000"/>
                <w:sz w:val="24"/>
              </w:rPr>
              <w:t>Gov</w:t>
            </w:r>
          </w:p>
        </w:tc>
        <w:tc>
          <w:p/>
          <w:p>
            <w:pPr>
              <w:jc w:val="left"/>
              <w:textAlignment w:val="center"/>
            </w:pPr>
            <w:r>
              <w:rPr>
                <w:rFonts w:ascii="Calibri"/>
                <w:color w:val="000000"/>
                <w:sz w:val="24"/>
              </w:rPr>
              <w:t/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Assoc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Post-grad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Some-college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University</w:t>
            </w:r>
          </w:p>
        </w:tc>
      </w:tr>
      <w:tr>
        <w:tc>
          <w:p/>
        </w:tc>
        <w:tc>
          <w:p/>
          <w:p>
            <w:pPr>
              <w:jc w:val="left"/>
              <w:textAlignment w:val="center"/>
            </w:pPr>
            <w:r>
              <w:rPr>
                <w:rFonts w:ascii="Calibri"/>
                <w:i w:val="true"/>
                <w:color w:val="000000"/>
                <w:sz w:val="24"/>
              </w:rPr>
              <w:t/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Federal-gov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41.15 (93)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43.86 (80)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FF"/>
                <w:sz w:val="24"/>
              </w:rPr>
              <w:t>40.31 (251)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43.38 (233)</w:t>
            </w:r>
          </w:p>
        </w:tc>
      </w:tr>
      <w:tr>
        <w:tc>
          <w:p/>
        </w:tc>
        <w:tc>
          <w:p/>
          <w:p>
            <w:pPr>
              <w:jc w:val="left"/>
              <w:textAlignment w:val="center"/>
            </w:pPr>
            <w:r>
              <w:rPr>
                <w:rFonts w:ascii="Calibri"/>
                <w:i w:val="true"/>
                <w:color w:val="000000"/>
                <w:sz w:val="24"/>
              </w:rPr>
              <w:t/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Local-gov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41.33 (171)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43.96 (362)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FF"/>
                <w:sz w:val="24"/>
              </w:rPr>
              <w:t>40.14 (385)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42.34 (499)</w:t>
            </w:r>
          </w:p>
        </w:tc>
      </w:tr>
      <w:tr>
        <w:tc>
          <w:p/>
        </w:tc>
        <w:tc>
          <w:p/>
          <w:p>
            <w:pPr>
              <w:jc w:val="left"/>
              <w:textAlignment w:val="center"/>
            </w:pPr>
            <w:r>
              <w:rPr>
                <w:rFonts w:ascii="Calibri"/>
                <w:i w:val="true"/>
                <w:color w:val="000000"/>
                <w:sz w:val="24"/>
              </w:rPr>
              <w:t/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State-gov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FF"/>
                <w:sz w:val="24"/>
              </w:rPr>
              <w:t>39.09 (87)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42.93 (249)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FF"/>
                <w:sz w:val="24"/>
              </w:rPr>
              <w:t>34.73 (319)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FF"/>
                <w:sz w:val="24"/>
              </w:rPr>
              <w:t>40.82 (297)</w:t>
            </w:r>
          </w:p>
        </w:tc>
      </w:tr>
      <w:tr>
        <w:tc>
          <w:p/>
        </w:tc>
        <w:tc>
          <w:p/>
          <w:p>
            <w:pPr>
              <w:jc w:val="left"/>
            </w:pPr>
            <w:r>
              <w:rPr>
                <w:rFonts w:ascii="Calibri"/>
                <w:i w:val="true"/>
                <w:color w:val="000000"/>
                <w:sz w:val="24"/>
              </w:rPr>
              <w:t>Private</w:t>
            </w:r>
          </w:p>
        </w:tc>
        <w:tc>
          <w:p/>
          <w:p>
            <w:pPr>
              <w:jc w:val="left"/>
              <w:textAlignment w:val="center"/>
            </w:pPr>
            <w:r>
              <w:rPr>
                <w:rFonts w:ascii="Calibri"/>
                <w:color w:val="000000"/>
                <w:sz w:val="24"/>
              </w:rPr>
              <w:t/>
            </w:r>
          </w:p>
        </w:tc>
        <w:tc>
          <w:p/>
          <w:p>
            <w:pPr>
              <w:jc w:val="left"/>
              <w:textAlignment w:val="center"/>
            </w:pPr>
            <w:r>
              <w:rPr>
                <w:rFonts w:ascii="Calibri"/>
                <w:color w:val="000000"/>
                <w:sz w:val="24"/>
              </w:rPr>
              <w:t/>
            </w:r>
          </w:p>
        </w:tc>
        <w:tc>
          <w:p/>
          <w:p>
            <w:pPr>
              <w:jc w:val="left"/>
              <w:textAlignment w:val="center"/>
            </w:pPr>
            <w:r>
              <w:rPr>
                <w:rFonts w:ascii="Calibri"/>
                <w:color w:val="000000"/>
                <w:sz w:val="24"/>
              </w:rPr>
              <w:t/>
            </w:r>
          </w:p>
        </w:tc>
        <w:tc>
          <w:p/>
          <w:p>
            <w:pPr>
              <w:jc w:val="left"/>
              <w:textAlignment w:val="center"/>
            </w:pPr>
            <w:r>
              <w:rPr>
                <w:rFonts w:ascii="Calibri"/>
                <w:color w:val="000000"/>
                <w:sz w:val="24"/>
              </w:rPr>
              <w:t/>
            </w:r>
          </w:p>
        </w:tc>
        <w:tc>
          <w:p/>
          <w:p>
            <w:pPr>
              <w:jc w:val="left"/>
              <w:textAlignment w:val="center"/>
            </w:pPr>
            <w:r>
              <w:rPr>
                <w:rFonts w:ascii="Calibri"/>
                <w:color w:val="000000"/>
                <w:sz w:val="24"/>
              </w:rPr>
              <w:t/>
            </w:r>
          </w:p>
        </w:tc>
      </w:tr>
      <w:tr>
        <w:tc>
          <w:p/>
        </w:tc>
        <w:tc>
          <w:p/>
          <w:p>
            <w:pPr>
              <w:jc w:val="left"/>
              <w:textAlignment w:val="center"/>
            </w:pPr>
            <w:r>
              <w:rPr>
                <w:rFonts w:ascii="Calibri"/>
                <w:i w:val="true"/>
                <w:color w:val="000000"/>
                <w:sz w:val="24"/>
              </w:rPr>
              <w:t/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Private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41.06 (1713)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FF0000"/>
                <w:sz w:val="24"/>
              </w:rPr>
              <w:t>45.19 (1035)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FF"/>
                <w:sz w:val="24"/>
              </w:rPr>
              <w:t>38.73 (5016)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43.06 (3702)</w:t>
            </w:r>
          </w:p>
        </w:tc>
      </w:tr>
      <w:tr>
        <w:tc>
          <w:p/>
        </w:tc>
        <w:tc>
          <w:p/>
          <w:p>
            <w:pPr>
              <w:jc w:val="left"/>
            </w:pPr>
            <w:r>
              <w:rPr>
                <w:rFonts w:ascii="Calibri"/>
                <w:i w:val="true"/>
                <w:color w:val="000000"/>
                <w:sz w:val="24"/>
              </w:rPr>
              <w:t>Self-emp</w:t>
            </w:r>
          </w:p>
        </w:tc>
        <w:tc>
          <w:p/>
          <w:p>
            <w:pPr>
              <w:jc w:val="left"/>
              <w:textAlignment w:val="center"/>
            </w:pPr>
            <w:r>
              <w:rPr>
                <w:rFonts w:ascii="Calibri"/>
                <w:color w:val="000000"/>
                <w:sz w:val="24"/>
              </w:rPr>
              <w:t/>
            </w:r>
          </w:p>
        </w:tc>
        <w:tc>
          <w:p/>
          <w:p>
            <w:pPr>
              <w:jc w:val="left"/>
              <w:textAlignment w:val="center"/>
            </w:pPr>
            <w:r>
              <w:rPr>
                <w:rFonts w:ascii="Calibri"/>
                <w:color w:val="000000"/>
                <w:sz w:val="24"/>
              </w:rPr>
              <w:t/>
            </w:r>
          </w:p>
        </w:tc>
        <w:tc>
          <w:p/>
          <w:p>
            <w:pPr>
              <w:jc w:val="left"/>
              <w:textAlignment w:val="center"/>
            </w:pPr>
            <w:r>
              <w:rPr>
                <w:rFonts w:ascii="Calibri"/>
                <w:color w:val="000000"/>
                <w:sz w:val="24"/>
              </w:rPr>
              <w:t/>
            </w:r>
          </w:p>
        </w:tc>
        <w:tc>
          <w:p/>
          <w:p>
            <w:pPr>
              <w:jc w:val="left"/>
              <w:textAlignment w:val="center"/>
            </w:pPr>
            <w:r>
              <w:rPr>
                <w:rFonts w:ascii="Calibri"/>
                <w:color w:val="000000"/>
                <w:sz w:val="24"/>
              </w:rPr>
              <w:t/>
            </w:r>
          </w:p>
        </w:tc>
        <w:tc>
          <w:p/>
          <w:p>
            <w:pPr>
              <w:jc w:val="left"/>
              <w:textAlignment w:val="center"/>
            </w:pPr>
            <w:r>
              <w:rPr>
                <w:rFonts w:ascii="Calibri"/>
                <w:color w:val="000000"/>
                <w:sz w:val="24"/>
              </w:rPr>
              <w:t/>
            </w:r>
          </w:p>
        </w:tc>
      </w:tr>
      <w:tr>
        <w:tc>
          <w:p/>
        </w:tc>
        <w:tc>
          <w:p/>
          <w:p>
            <w:pPr>
              <w:jc w:val="left"/>
              <w:textAlignment w:val="center"/>
            </w:pPr>
            <w:r>
              <w:rPr>
                <w:rFonts w:ascii="Calibri"/>
                <w:i w:val="true"/>
                <w:color w:val="000000"/>
                <w:sz w:val="24"/>
              </w:rPr>
              <w:t/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Self-emp-inc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FF0000"/>
                <w:sz w:val="24"/>
              </w:rPr>
              <w:t>48.68 (72)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FF0000"/>
                <w:sz w:val="24"/>
              </w:rPr>
              <w:t>53.05 (110)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FF0000"/>
                <w:sz w:val="24"/>
              </w:rPr>
              <w:t>49.31 (223)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FF0000"/>
                <w:sz w:val="24"/>
              </w:rPr>
              <w:t>49.91 (338)</w:t>
            </w:r>
          </w:p>
        </w:tc>
      </w:tr>
      <w:tr>
        <w:tc>
          <w:p/>
        </w:tc>
        <w:tc>
          <w:p/>
          <w:p>
            <w:pPr>
              <w:jc w:val="left"/>
              <w:textAlignment w:val="center"/>
            </w:pPr>
            <w:r>
              <w:rPr>
                <w:rFonts w:ascii="Calibri"/>
                <w:i w:val="true"/>
                <w:color w:val="000000"/>
                <w:sz w:val="24"/>
              </w:rPr>
              <w:t/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Self-emp-not-inc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FF0000"/>
                <w:sz w:val="24"/>
              </w:rPr>
              <w:t>45.88 (178)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43.39 (166)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44.03 (481)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44.44 (517)</w:t>
            </w:r>
          </w:p>
        </w:tc>
      </w:tr>
    </w:tbl>
    <w:p>
      <w:r>
        <w:rPr>
          <w:sz w:val="24"/>
        </w:rPr>
        <w:t>In this slide, we expand dimension work by drilling down from level 1 to level 0. For each cell we show both the Avg of hours_per_week and the number of tuples that correspond to it in parentheses. We highlight the 6 lowest values in blue and the 6 largest in red color.</w:t>
        <w:br/>
        <w:t>Some interesting findings include:</w:t>
        <w:br/>
        <w:t>Column Assoc has 2 of the 6 highest values.</w:t>
        <w:br/>
        <w:t>Column Post-grad has 2 of the 6 highest values.</w:t>
        <w:br/>
        <w:t>Column Some-college has 4 of the 6 lowest values.</w:t>
        <w:br/>
      </w:r>
    </w:p>
    <w:p>
      <w:r>
        <w:rPr>
          <w:b w:val="true"/>
          <w:sz w:val="24"/>
        </w:rPr>
        <w:t>Drilling down the Columns of the Original Result</w:t>
        <w:br/>
      </w:r>
      <w:r/>
    </w:p>
    <w:tbl>
      <w:tblPr>
        <w:tblW w:w="5000" w:type="pct"/>
        <w:jc w:val="righ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/>
        </w:tc>
      </w:tr>
      <w:tr>
        <w:tc>
          <w:p/>
        </w:tc>
        <w:tc>
          <w:p/>
          <w:p>
            <w:pPr>
              <w:jc w:val="left"/>
            </w:pPr>
            <w:r>
              <w:rPr>
                <w:rFonts w:ascii="Calibri"/>
                <w:i w:val="true"/>
                <w:color w:val="000000"/>
                <w:sz w:val="24"/>
              </w:rPr>
              <w:t>Assoc</w:t>
            </w:r>
          </w:p>
        </w:tc>
        <w:tc>
          <w:p/>
          <w:p>
            <w:pPr>
              <w:jc w:val="left"/>
              <w:textAlignment w:val="center"/>
            </w:pPr>
            <w:r>
              <w:rPr>
                <w:rFonts w:ascii="Calibri"/>
                <w:color w:val="000000"/>
                <w:sz w:val="24"/>
              </w:rPr>
              <w:t/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Gov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Private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Self-emp</w:t>
            </w:r>
          </w:p>
        </w:tc>
      </w:tr>
      <w:tr>
        <w:tc>
          <w:p/>
        </w:tc>
        <w:tc>
          <w:p/>
          <w:p>
            <w:pPr>
              <w:jc w:val="left"/>
              <w:textAlignment w:val="center"/>
            </w:pPr>
            <w:r>
              <w:rPr>
                <w:rFonts w:ascii="Calibri"/>
                <w:i w:val="true"/>
                <w:color w:val="000000"/>
                <w:sz w:val="24"/>
              </w:rPr>
              <w:t/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Assoc-acdm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FF"/>
                <w:sz w:val="24"/>
              </w:rPr>
              <w:t>39.91 (182)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FF"/>
                <w:sz w:val="24"/>
              </w:rPr>
              <w:t>40.87 (720)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45.49 (105)</w:t>
            </w:r>
          </w:p>
        </w:tc>
      </w:tr>
      <w:tr>
        <w:tc>
          <w:p/>
        </w:tc>
        <w:tc>
          <w:p/>
          <w:p>
            <w:pPr>
              <w:jc w:val="left"/>
              <w:textAlignment w:val="center"/>
            </w:pPr>
            <w:r>
              <w:rPr>
                <w:rFonts w:ascii="Calibri"/>
                <w:i w:val="true"/>
                <w:color w:val="000000"/>
                <w:sz w:val="24"/>
              </w:rPr>
              <w:t/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Assoc-voc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41.61 (169)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FF"/>
                <w:sz w:val="24"/>
              </w:rPr>
              <w:t>41.20 (993)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FF0000"/>
                <w:sz w:val="24"/>
              </w:rPr>
              <w:t>47.55 (145)</w:t>
            </w:r>
          </w:p>
        </w:tc>
      </w:tr>
      <w:tr>
        <w:tc>
          <w:p/>
        </w:tc>
        <w:tc>
          <w:p/>
          <w:p>
            <w:pPr>
              <w:jc w:val="left"/>
            </w:pPr>
            <w:r>
              <w:rPr>
                <w:rFonts w:ascii="Calibri"/>
                <w:i w:val="true"/>
                <w:color w:val="000000"/>
                <w:sz w:val="24"/>
              </w:rPr>
              <w:t>Post-grad</w:t>
            </w:r>
          </w:p>
        </w:tc>
        <w:tc>
          <w:p/>
          <w:p>
            <w:pPr>
              <w:jc w:val="left"/>
              <w:textAlignment w:val="center"/>
            </w:pPr>
            <w:r>
              <w:rPr>
                <w:rFonts w:ascii="Calibri"/>
                <w:color w:val="000000"/>
                <w:sz w:val="24"/>
              </w:rPr>
              <w:t/>
            </w:r>
          </w:p>
        </w:tc>
        <w:tc>
          <w:p/>
          <w:p>
            <w:pPr>
              <w:jc w:val="left"/>
              <w:textAlignment w:val="center"/>
            </w:pPr>
            <w:r>
              <w:rPr>
                <w:rFonts w:ascii="Calibri"/>
                <w:color w:val="000000"/>
                <w:sz w:val="24"/>
              </w:rPr>
              <w:t/>
            </w:r>
          </w:p>
        </w:tc>
        <w:tc>
          <w:p/>
          <w:p>
            <w:pPr>
              <w:jc w:val="left"/>
              <w:textAlignment w:val="center"/>
            </w:pPr>
            <w:r>
              <w:rPr>
                <w:rFonts w:ascii="Calibri"/>
                <w:color w:val="000000"/>
                <w:sz w:val="24"/>
              </w:rPr>
              <w:t/>
            </w:r>
          </w:p>
        </w:tc>
        <w:tc>
          <w:p/>
          <w:p>
            <w:pPr>
              <w:jc w:val="left"/>
              <w:textAlignment w:val="center"/>
            </w:pPr>
            <w:r>
              <w:rPr>
                <w:rFonts w:ascii="Calibri"/>
                <w:color w:val="000000"/>
                <w:sz w:val="24"/>
              </w:rPr>
              <w:t/>
            </w:r>
          </w:p>
        </w:tc>
      </w:tr>
      <w:tr>
        <w:tc>
          <w:p/>
        </w:tc>
        <w:tc>
          <w:p/>
          <w:p>
            <w:pPr>
              <w:jc w:val="left"/>
              <w:textAlignment w:val="center"/>
            </w:pPr>
            <w:r>
              <w:rPr>
                <w:rFonts w:ascii="Calibri"/>
                <w:i w:val="true"/>
                <w:color w:val="000000"/>
                <w:sz w:val="24"/>
              </w:rPr>
              <w:t/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Doctorate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46.53 (124)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FF0000"/>
                <w:sz w:val="24"/>
              </w:rPr>
              <w:t>49.05 (172)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47.22 (79)</w:t>
            </w:r>
          </w:p>
        </w:tc>
      </w:tr>
      <w:tr>
        <w:tc>
          <w:p/>
        </w:tc>
        <w:tc>
          <w:p/>
          <w:p>
            <w:pPr>
              <w:jc w:val="left"/>
              <w:textAlignment w:val="center"/>
            </w:pPr>
            <w:r>
              <w:rPr>
                <w:rFonts w:ascii="Calibri"/>
                <w:i w:val="true"/>
                <w:color w:val="000000"/>
                <w:sz w:val="24"/>
              </w:rPr>
              <w:t/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Masters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42.93 (567)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44.42 (863)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47.25 (197)</w:t>
            </w:r>
          </w:p>
        </w:tc>
      </w:tr>
      <w:tr>
        <w:tc>
          <w:p/>
        </w:tc>
        <w:tc>
          <w:p/>
          <w:p>
            <w:pPr>
              <w:jc w:val="left"/>
            </w:pPr>
            <w:r>
              <w:rPr>
                <w:rFonts w:ascii="Calibri"/>
                <w:i w:val="true"/>
                <w:color w:val="000000"/>
                <w:sz w:val="24"/>
              </w:rPr>
              <w:t>Some-college</w:t>
            </w:r>
          </w:p>
        </w:tc>
        <w:tc>
          <w:p/>
          <w:p>
            <w:pPr>
              <w:jc w:val="left"/>
              <w:textAlignment w:val="center"/>
            </w:pPr>
            <w:r>
              <w:rPr>
                <w:rFonts w:ascii="Calibri"/>
                <w:color w:val="000000"/>
                <w:sz w:val="24"/>
              </w:rPr>
              <w:t/>
            </w:r>
          </w:p>
        </w:tc>
        <w:tc>
          <w:p/>
          <w:p>
            <w:pPr>
              <w:jc w:val="left"/>
              <w:textAlignment w:val="center"/>
            </w:pPr>
            <w:r>
              <w:rPr>
                <w:rFonts w:ascii="Calibri"/>
                <w:color w:val="000000"/>
                <w:sz w:val="24"/>
              </w:rPr>
              <w:t/>
            </w:r>
          </w:p>
        </w:tc>
        <w:tc>
          <w:p/>
          <w:p>
            <w:pPr>
              <w:jc w:val="left"/>
              <w:textAlignment w:val="center"/>
            </w:pPr>
            <w:r>
              <w:rPr>
                <w:rFonts w:ascii="Calibri"/>
                <w:color w:val="000000"/>
                <w:sz w:val="24"/>
              </w:rPr>
              <w:t/>
            </w:r>
          </w:p>
        </w:tc>
        <w:tc>
          <w:p/>
          <w:p>
            <w:pPr>
              <w:jc w:val="left"/>
              <w:textAlignment w:val="center"/>
            </w:pPr>
            <w:r>
              <w:rPr>
                <w:rFonts w:ascii="Calibri"/>
                <w:color w:val="000000"/>
                <w:sz w:val="24"/>
              </w:rPr>
              <w:t/>
            </w:r>
          </w:p>
        </w:tc>
      </w:tr>
      <w:tr>
        <w:tc>
          <w:p/>
        </w:tc>
        <w:tc>
          <w:p/>
          <w:p>
            <w:pPr>
              <w:jc w:val="left"/>
              <w:textAlignment w:val="center"/>
            </w:pPr>
            <w:r>
              <w:rPr>
                <w:rFonts w:ascii="Calibri"/>
                <w:i w:val="true"/>
                <w:color w:val="000000"/>
                <w:sz w:val="24"/>
              </w:rPr>
              <w:t/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Some-college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FF"/>
                <w:sz w:val="24"/>
              </w:rPr>
              <w:t>38.38 (955)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FF"/>
                <w:sz w:val="24"/>
              </w:rPr>
              <w:t>38.73 (5016)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45.70 (704)</w:t>
            </w:r>
          </w:p>
        </w:tc>
      </w:tr>
      <w:tr>
        <w:tc>
          <w:p/>
        </w:tc>
        <w:tc>
          <w:p/>
          <w:p>
            <w:pPr>
              <w:jc w:val="left"/>
            </w:pPr>
            <w:r>
              <w:rPr>
                <w:rFonts w:ascii="Calibri"/>
                <w:i w:val="true"/>
                <w:color w:val="000000"/>
                <w:sz w:val="24"/>
              </w:rPr>
              <w:t>University</w:t>
            </w:r>
          </w:p>
        </w:tc>
        <w:tc>
          <w:p/>
          <w:p>
            <w:pPr>
              <w:jc w:val="left"/>
              <w:textAlignment w:val="center"/>
            </w:pPr>
            <w:r>
              <w:rPr>
                <w:rFonts w:ascii="Calibri"/>
                <w:color w:val="000000"/>
                <w:sz w:val="24"/>
              </w:rPr>
              <w:t/>
            </w:r>
          </w:p>
        </w:tc>
        <w:tc>
          <w:p/>
          <w:p>
            <w:pPr>
              <w:jc w:val="left"/>
              <w:textAlignment w:val="center"/>
            </w:pPr>
            <w:r>
              <w:rPr>
                <w:rFonts w:ascii="Calibri"/>
                <w:color w:val="000000"/>
                <w:sz w:val="24"/>
              </w:rPr>
              <w:t/>
            </w:r>
          </w:p>
        </w:tc>
        <w:tc>
          <w:p/>
          <w:p>
            <w:pPr>
              <w:jc w:val="left"/>
              <w:textAlignment w:val="center"/>
            </w:pPr>
            <w:r>
              <w:rPr>
                <w:rFonts w:ascii="Calibri"/>
                <w:color w:val="000000"/>
                <w:sz w:val="24"/>
              </w:rPr>
              <w:t/>
            </w:r>
          </w:p>
        </w:tc>
        <w:tc>
          <w:p/>
          <w:p>
            <w:pPr>
              <w:jc w:val="left"/>
              <w:textAlignment w:val="center"/>
            </w:pPr>
            <w:r>
              <w:rPr>
                <w:rFonts w:ascii="Calibri"/>
                <w:color w:val="000000"/>
                <w:sz w:val="24"/>
              </w:rPr>
              <w:t/>
            </w:r>
          </w:p>
        </w:tc>
      </w:tr>
      <w:tr>
        <w:tc>
          <w:p/>
        </w:tc>
        <w:tc>
          <w:p/>
          <w:p>
            <w:pPr>
              <w:jc w:val="left"/>
              <w:textAlignment w:val="center"/>
            </w:pPr>
            <w:r>
              <w:rPr>
                <w:rFonts w:ascii="Calibri"/>
                <w:i w:val="true"/>
                <w:color w:val="000000"/>
                <w:sz w:val="24"/>
              </w:rPr>
              <w:t/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Bachelors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41.56 (943)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42.71 (3455)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46.23 (646)</w:t>
            </w:r>
          </w:p>
        </w:tc>
      </w:tr>
      <w:tr>
        <w:tc>
          <w:p/>
        </w:tc>
        <w:tc>
          <w:p/>
          <w:p>
            <w:pPr>
              <w:jc w:val="left"/>
              <w:textAlignment w:val="center"/>
            </w:pPr>
            <w:r>
              <w:rPr>
                <w:rFonts w:ascii="Calibri"/>
                <w:i w:val="true"/>
                <w:color w:val="000000"/>
                <w:sz w:val="24"/>
              </w:rPr>
              <w:t/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Prof-school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FF0000"/>
                <w:sz w:val="24"/>
              </w:rPr>
              <w:t>48.40 (86)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FF0000"/>
                <w:sz w:val="24"/>
              </w:rPr>
              <w:t>47.96 (247)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FF0000"/>
                <w:sz w:val="24"/>
              </w:rPr>
              <w:t>47.78 (209)</w:t>
            </w:r>
          </w:p>
        </w:tc>
      </w:tr>
    </w:tbl>
    <w:p>
      <w:r>
        <w:rPr>
          <w:sz w:val="24"/>
        </w:rPr>
        <w:t>In this slide, we expand dimension education by drilling down from level 2 to level 1. For each cell we show both the Avg of hours_per_week and the number of tuples that correspond to it in parentheses. We highlight the 5 lowest values in blue and the 5 largest in red color.</w:t>
        <w:br/>
        <w:t>Some interesting findings include:</w:t>
        <w:br/>
        <w:t>Column Private has 2 of the 5 highest values.</w:t>
        <w:br/>
        <w:t>Column Self-emp has 2 of the 5 highest values.</w:t>
        <w:br/>
        <w:t>Column Private has 3 of the 5 lowest values.</w:t>
        <w:br/>
      </w:r>
    </w:p>
    <w:p>
      <w:r>
        <w:rPr>
          <w:b w:val="true"/>
          <w:sz w:val="48"/>
        </w:rPr>
        <w:t>Summary</w:t>
        <w:br/>
      </w:r>
      <w:r>
        <w:rPr>
          <w:sz w:val="28"/>
        </w:rPr>
        <w:t>-Concerning the original query, some interesting findings include:</w:t>
        <w:br/>
        <w:t>-Column Some-college has 2 of the 3 lowest values.</w:t>
        <w:br/>
        <w:t>-Row Self-emp has 3 of the 3 highest values.</w:t>
        <w:br/>
        <w:t>-Row Gov has 2 of the 3 lowest values.</w:t>
        <w:br/>
        <w:t>-Row Private has 1 of the 3 lowest values.</w:t>
        <w:br/>
        <w:t>-First, we tried to put the original result in context, by comparing its defining values with similar ones.</w:t>
        <w:br/>
        <w:t>-When we compared Post-Secondary to its siblings, grouped by education and work, we observed the following:</w:t>
        <w:br/>
        <w:t>-In 3 out of 3 cases Post-Secondary has higher value than Without-Post-Secondary.</w:t>
        <w:br/>
        <w:t>-When we compared With-Pay to its siblings, grouped by education and work, we observed the following:</w:t>
        <w:br/>
        <w:t>-In 1 out of 4 cases With-Pay has a higher value than Without-pay.</w:t>
        <w:br/>
        <w:t>-In 1 out of 4 cases With-Pay has a lower value than Without-pay.</w:t>
        <w:br/>
        <w:t>-In 2 out of 4 cases Without-pay has null value.</w:t>
        <w:br/>
        <w:t>-Then we analyzed the results by drilling down one level in the hierarchy.</w:t>
        <w:br/>
        <w:t>-When we drilled down work, we observed the following facts:</w:t>
        <w:br/>
        <w:t>-Column Assoc has 2 of the 6 highest values.</w:t>
        <w:br/>
        <w:t>-Column Post-grad has 2 of the 6 highest values.</w:t>
        <w:br/>
        <w:t>-Column Some-college has 4 of the 6 lowest values.</w:t>
        <w:br/>
        <w:t>-When we drilled down education, we observed the following facts:</w:t>
        <w:br/>
        <w:t>-Column Private has 2 of the 5 highest values.</w:t>
        <w:br/>
        <w:t>-Column Self-emp has 2 of the 5 highest values.</w:t>
        <w:br/>
        <w:t>-Column Private has 3 of the 5 lowest values.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?>

<Relationships xmlns="http://schemas.openxmlformats.org/package/2006/relationships">
  <Relationship Id="rId1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2016-07-02T09:04:54Z</dcterms:created>
  <dc:creator>Apache POI</dc:creator>
</coreProperties>
</file>