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4"/>
              <w:left w:val="single" w:color="534AB7" w:sz="4"/>
              <w:bottom w:val="single" w:color="534AB7" w:sz="4"/>
              <w:right w:val="single" w:color="534AB7" w:sz="4"/>
            </w:tcBorders>
            <w:shd w:fill="534AB7" w:val="clear"/>
            <w:tcMar>
              <w:top w:type="dxa" w:w="300"/>
              <w:left w:type="dxa" w:w="360"/>
              <w:bottom w:type="dxa" w:w="240"/>
              <w:right w:type="dxa" w:w="360"/>
            </w:tcMar>
          </w:tcPr>
          <w:p>
            <w:pPr>
              <w:spacing w:after="80" w:before="0"/>
              <w:jc w:val="center"/>
            </w:pPr>
            <w:r>
              <w:rPr>
                <w:rFonts w:ascii="Arial" w:cs="Arial" w:eastAsia="Arial" w:hAnsi="Arial"/>
                <w:b/>
                <w:bCs/>
                <w:color w:val="FFFFFF"/>
                <w:sz w:val="36"/>
                <w:szCs w:val="36"/>
              </w:rPr>
              <w:t xml:space="preserve">ONLINE LEARNING DATABASE</w:t>
            </w:r>
          </w:p>
          <w:p>
            <w:pPr>
              <w:spacing w:after="120" w:before="0"/>
              <w:jc w:val="center"/>
            </w:pPr>
            <w:r>
              <w:rPr>
                <w:rFonts w:ascii="Arial" w:cs="Arial" w:eastAsia="Arial" w:hAnsi="Arial"/>
                <w:i/>
                <w:iCs/>
                <w:color w:val="D0CBFF"/>
                <w:sz w:val="20"/>
                <w:szCs w:val="20"/>
              </w:rPr>
              <w:t xml:space="preserve">SQL Analysis Project  |  MySQL Workbench  |  EdTech Domain</w:t>
            </w:r>
          </w:p>
          <w:p>
            <w:pPr>
              <w:spacing w:after="0" w:before="0"/>
              <w:jc w:val="center"/>
            </w:pPr>
            <w:r>
              <w:rPr>
                <w:rFonts w:ascii="Arial" w:cs="Arial" w:eastAsia="Arial" w:hAnsi="Arial"/>
                <w:color w:val="BDB8F5"/>
                <w:sz w:val="18"/>
                <w:szCs w:val="18"/>
              </w:rPr>
              <w:t xml:space="preserve">Relational Database Design  •  JOIN Analysis  •  Revenue Analytics  •  Learner Behaviour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140"/>
        <w:gridCol w:w="3040"/>
        <w:gridCol w:w="140"/>
        <w:gridCol w:w="3040"/>
      </w:tblGrid>
      <w:tr>
        <w:tc>
          <w:tcPr>
            <w:tcW w:type="dxa" w:w="3040"/>
            <w:tcBorders>
              <w:top w:val="single" w:color="EEEDFE" w:sz="4"/>
              <w:left w:val="single" w:color="EEEDFE" w:sz="4"/>
              <w:bottom w:val="single" w:color="EEEDFE" w:sz="4"/>
              <w:right w:val="single" w:color="EEEDFE" w:sz="4"/>
            </w:tcBorders>
            <w:shd w:fill="EEEDFE" w:val="clear"/>
            <w:tcMar>
              <w:top w:type="dxa" w:w="140"/>
              <w:left w:type="dxa" w:w="160"/>
              <w:bottom w:type="dxa" w:w="140"/>
              <w:right w:type="dxa" w:w="160"/>
            </w:tcMar>
            <w:vAlign w:val="center"/>
          </w:tcPr>
          <w:p>
            <w:pPr>
              <w:spacing w:after="40" w:before="0"/>
              <w:jc w:val="center"/>
            </w:pPr>
            <w:r>
              <w:rPr>
                <w:rFonts w:ascii="Arial" w:cs="Arial" w:eastAsia="Arial" w:hAnsi="Arial"/>
                <w:b/>
                <w:bCs/>
                <w:color w:val="534AB7"/>
                <w:sz w:val="52"/>
                <w:szCs w:val="52"/>
              </w:rPr>
              <w:t xml:space="preserve">3</w:t>
            </w:r>
          </w:p>
          <w:p>
            <w:pPr>
              <w:spacing w:after="0" w:before="0"/>
              <w:jc w:val="center"/>
            </w:pPr>
            <w:r>
              <w:rPr>
                <w:rFonts w:ascii="Arial" w:cs="Arial" w:eastAsia="Arial" w:hAnsi="Arial"/>
                <w:color w:val="534AB7"/>
                <w:sz w:val="17"/>
                <w:szCs w:val="17"/>
              </w:rPr>
              <w:t xml:space="preserve">Tables Designed</w:t>
            </w:r>
          </w:p>
        </w:tc>
        <w:tc>
          <w:tcPr>
            <w:tcW w:type="dxa" w:w="140"/>
            <w:tcBorders>
              <w:top w:val="none" w:color="FFFFFF" w:sz="0"/>
              <w:left w:val="none" w:color="FFFFFF" w:sz="0"/>
              <w:bottom w:val="none" w:color="FFFFFF" w:sz="0"/>
              <w:right w:val="none" w:color="FFFFFF" w:sz="0"/>
            </w:tcBorders>
            <w:shd w:fill="FFFFFF" w:val="clear"/>
          </w:tcPr>
          <w:p/>
        </w:tc>
        <w:tc>
          <w:tcPr>
            <w:tcW w:type="dxa" w:w="3040"/>
            <w:tcBorders>
              <w:top w:val="single" w:color="E6F1FB" w:sz="4"/>
              <w:left w:val="single" w:color="E6F1FB" w:sz="4"/>
              <w:bottom w:val="single" w:color="E6F1FB" w:sz="4"/>
              <w:right w:val="single" w:color="E6F1FB" w:sz="4"/>
            </w:tcBorders>
            <w:shd w:fill="E6F1FB" w:val="clear"/>
            <w:tcMar>
              <w:top w:type="dxa" w:w="140"/>
              <w:left w:type="dxa" w:w="160"/>
              <w:bottom w:type="dxa" w:w="140"/>
              <w:right w:type="dxa" w:w="160"/>
            </w:tcMar>
            <w:vAlign w:val="center"/>
          </w:tcPr>
          <w:p>
            <w:pPr>
              <w:spacing w:after="40" w:before="0"/>
              <w:jc w:val="center"/>
            </w:pPr>
            <w:r>
              <w:rPr>
                <w:rFonts w:ascii="Arial" w:cs="Arial" w:eastAsia="Arial" w:hAnsi="Arial"/>
                <w:b/>
                <w:bCs/>
                <w:color w:val="185FA5"/>
                <w:sz w:val="52"/>
                <w:szCs w:val="52"/>
              </w:rPr>
              <w:t xml:space="preserve">3</w:t>
            </w:r>
          </w:p>
          <w:p>
            <w:pPr>
              <w:spacing w:after="0" w:before="0"/>
              <w:jc w:val="center"/>
            </w:pPr>
            <w:r>
              <w:rPr>
                <w:rFonts w:ascii="Arial" w:cs="Arial" w:eastAsia="Arial" w:hAnsi="Arial"/>
                <w:color w:val="185FA5"/>
                <w:sz w:val="17"/>
                <w:szCs w:val="17"/>
              </w:rPr>
              <w:t xml:space="preserve">Inactive Learners</w:t>
            </w:r>
          </w:p>
        </w:tc>
        <w:tc>
          <w:tcPr>
            <w:tcW w:type="dxa" w:w="140"/>
            <w:tcBorders>
              <w:top w:val="none" w:color="FFFFFF" w:sz="0"/>
              <w:left w:val="none" w:color="FFFFFF" w:sz="0"/>
              <w:bottom w:val="none" w:color="FFFFFF" w:sz="0"/>
              <w:right w:val="none" w:color="FFFFFF" w:sz="0"/>
            </w:tcBorders>
            <w:shd w:fill="FFFFFF" w:val="clear"/>
          </w:tcPr>
          <w:p/>
        </w:tc>
        <w:tc>
          <w:tcPr>
            <w:tcW w:type="dxa" w:w="3040"/>
            <w:tcBorders>
              <w:top w:val="single" w:color="E1F5EE" w:sz="4"/>
              <w:left w:val="single" w:color="E1F5EE" w:sz="4"/>
              <w:bottom w:val="single" w:color="E1F5EE" w:sz="4"/>
              <w:right w:val="single" w:color="E1F5EE" w:sz="4"/>
            </w:tcBorders>
            <w:shd w:fill="E1F5EE" w:val="clear"/>
            <w:tcMar>
              <w:top w:type="dxa" w:w="140"/>
              <w:left w:type="dxa" w:w="160"/>
              <w:bottom w:type="dxa" w:w="140"/>
              <w:right w:type="dxa" w:w="160"/>
            </w:tcMar>
            <w:vAlign w:val="center"/>
          </w:tcPr>
          <w:p>
            <w:pPr>
              <w:spacing w:after="40" w:before="0"/>
              <w:jc w:val="center"/>
            </w:pPr>
            <w:r>
              <w:rPr>
                <w:rFonts w:ascii="Arial" w:cs="Arial" w:eastAsia="Arial" w:hAnsi="Arial"/>
                <w:b/>
                <w:bCs/>
                <w:color w:val="0F6E56"/>
                <w:sz w:val="52"/>
                <w:szCs w:val="52"/>
              </w:rPr>
              <w:t xml:space="preserve">3</w:t>
            </w:r>
          </w:p>
          <w:p>
            <w:pPr>
              <w:spacing w:after="0" w:before="0"/>
              <w:jc w:val="center"/>
            </w:pPr>
            <w:r>
              <w:rPr>
                <w:rFonts w:ascii="Arial" w:cs="Arial" w:eastAsia="Arial" w:hAnsi="Arial"/>
                <w:color w:val="0F6E56"/>
                <w:sz w:val="17"/>
                <w:szCs w:val="17"/>
              </w:rPr>
              <w:t xml:space="preserve">Unpurchased Courses</w:t>
            </w:r>
          </w:p>
        </w:tc>
      </w:tr>
    </w:tbl>
    <w:p>
      <w:pPr>
        <w:spacing w:after="0" w:before="200"/>
      </w:pPr>
      <w:r>
        <w:t xml:space="preserve"/>
      </w:r>
    </w:p>
    <w:p>
      <w:pPr>
        <w:pBdr>
          <w:bottom w:val="single" w:color="534AB7" w:sz="12" w:space="4"/>
        </w:pBdr>
        <w:spacing w:after="60" w:before="280"/>
      </w:pPr>
      <w:r>
        <w:rPr>
          <w:rFonts w:ascii="Arial" w:cs="Arial" w:eastAsia="Arial" w:hAnsi="Arial"/>
          <w:b/>
          <w:bCs/>
          <w:color w:val="534AB7"/>
          <w:sz w:val="26"/>
          <w:szCs w:val="26"/>
        </w:rPr>
        <w:t xml:space="preserve">Project Overview</w:t>
      </w:r>
    </w:p>
    <w:p>
      <w:pPr>
        <w:spacing w:after="40" w:before="40"/>
      </w:pPr>
      <w:r>
        <w:rPr>
          <w:rFonts w:ascii="Arial" w:cs="Arial" w:eastAsia="Arial" w:hAnsi="Arial"/>
          <w:color w:val="333333"/>
          <w:sz w:val="20"/>
          <w:szCs w:val="20"/>
        </w:rPr>
        <w:t xml:space="preserve">This project demonstrates end-to-end SQL proficiency through the design, population, and analysis of a relational database for a simulated online learning platform. Starting from schema design through to advanced analytical querying, the project uncovers actionable business insights around learner behaviour, course performance, and revenue generation.</w:t>
      </w:r>
    </w:p>
    <w:p>
      <w:pPr>
        <w:spacing w:after="0" w:before="60"/>
      </w:pPr>
      <w:r>
        <w:t xml:space="preserve"/>
      </w:r>
    </w:p>
    <w:p>
      <w:pPr>
        <w:pBdr>
          <w:bottom w:val="single" w:color="185FA5" w:sz="12" w:space="4"/>
        </w:pBdr>
        <w:spacing w:after="60" w:before="280"/>
      </w:pPr>
      <w:r>
        <w:rPr>
          <w:rFonts w:ascii="Arial" w:cs="Arial" w:eastAsia="Arial" w:hAnsi="Arial"/>
          <w:b/>
          <w:bCs/>
          <w:color w:val="185FA5"/>
          <w:sz w:val="26"/>
          <w:szCs w:val="26"/>
        </w:rPr>
        <w:t xml:space="preserve">Business Problem</w:t>
      </w:r>
    </w:p>
    <w:p>
      <w:pPr>
        <w:spacing w:after="40" w:before="40"/>
      </w:pPr>
      <w:r>
        <w:rPr>
          <w:rFonts w:ascii="Arial" w:cs="Arial" w:eastAsia="Arial" w:hAnsi="Arial"/>
          <w:color w:val="333333"/>
          <w:sz w:val="20"/>
          <w:szCs w:val="20"/>
        </w:rPr>
        <w:t xml:space="preserve">Online learning platforms face critical challenges in understanding which courses drive revenue, which learners are most engaged, and where promotional efforts are falling short. This project addresses those challenges by answering:</w:t>
      </w:r>
    </w:p>
    <w:p>
      <w:pPr>
        <w:spacing w:after="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Which courses and categories generate the most revenue?</w:t>
      </w:r>
    </w:p>
    <w:p>
      <w:pPr>
        <w:pStyle w:val="ListParagraph"/>
        <w:numPr>
          <w:ilvl w:val="0"/>
          <w:numId w:val="2"/>
        </w:numPr>
        <w:spacing w:after="40" w:before="40"/>
      </w:pPr>
      <w:r>
        <w:rPr>
          <w:rFonts w:ascii="Arial" w:cs="Arial" w:eastAsia="Arial" w:hAnsi="Arial"/>
          <w:color w:val="333333"/>
          <w:sz w:val="20"/>
          <w:szCs w:val="20"/>
        </w:rPr>
        <w:t xml:space="preserve">Who are the highest-value learners on the platform?</w:t>
      </w:r>
    </w:p>
    <w:p>
      <w:pPr>
        <w:pStyle w:val="ListParagraph"/>
        <w:numPr>
          <w:ilvl w:val="0"/>
          <w:numId w:val="2"/>
        </w:numPr>
        <w:spacing w:after="40" w:before="40"/>
      </w:pPr>
      <w:r>
        <w:rPr>
          <w:rFonts w:ascii="Arial" w:cs="Arial" w:eastAsia="Arial" w:hAnsi="Arial"/>
          <w:color w:val="333333"/>
          <w:sz w:val="20"/>
          <w:szCs w:val="20"/>
        </w:rPr>
        <w:t xml:space="preserve">Which courses have zero enrolments and why?</w:t>
      </w:r>
    </w:p>
    <w:p>
      <w:pPr>
        <w:pStyle w:val="ListParagraph"/>
        <w:numPr>
          <w:ilvl w:val="0"/>
          <w:numId w:val="2"/>
        </w:numPr>
        <w:spacing w:after="40" w:before="40"/>
      </w:pPr>
      <w:r>
        <w:rPr>
          <w:rFonts w:ascii="Arial" w:cs="Arial" w:eastAsia="Arial" w:hAnsi="Arial"/>
          <w:color w:val="333333"/>
          <w:sz w:val="20"/>
          <w:szCs w:val="20"/>
        </w:rPr>
        <w:t xml:space="preserve">Which learners show cross-category learning behaviour?</w:t>
      </w:r>
    </w:p>
    <w:p>
      <w:pPr>
        <w:spacing w:after="0" w:before="60"/>
      </w:pPr>
      <w:r>
        <w:t xml:space="preserve"/>
      </w:r>
    </w:p>
    <w:p>
      <w:pPr>
        <w:pBdr>
          <w:bottom w:val="single" w:color="0F6E56" w:sz="12" w:space="4"/>
        </w:pBdr>
        <w:spacing w:after="60" w:before="280"/>
      </w:pPr>
      <w:r>
        <w:rPr>
          <w:rFonts w:ascii="Arial" w:cs="Arial" w:eastAsia="Arial" w:hAnsi="Arial"/>
          <w:b/>
          <w:bCs/>
          <w:color w:val="0F6E56"/>
          <w:sz w:val="26"/>
          <w:szCs w:val="26"/>
        </w:rPr>
        <w:t xml:space="preserve">Dataset Description</w:t>
      </w:r>
    </w:p>
    <w:p>
      <w:pPr>
        <w:spacing w:after="40" w:before="40"/>
      </w:pPr>
      <w:r>
        <w:rPr>
          <w:rFonts w:ascii="Arial" w:cs="Arial" w:eastAsia="Arial" w:hAnsi="Arial"/>
          <w:color w:val="333333"/>
          <w:sz w:val="20"/>
          <w:szCs w:val="20"/>
        </w:rPr>
        <w:t xml:space="preserve">A custom relational database was designed and populated with realistic synthetic data across three normalised tables: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learners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Learner profile records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learner_id, name, email, join_date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courses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Course catalogue with pricing</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course_id, title, category, price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purchases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Transaction-level records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purchase_id, learner_id, course_id, quantity</w:t>
            </w:r>
          </w:p>
        </w:tc>
      </w:tr>
    </w:tbl>
    <w:p>
      <w:pPr>
        <w:spacing w:after="0" w:before="60"/>
      </w:pPr>
      <w:r>
        <w:t xml:space="preserve"/>
      </w:r>
    </w:p>
    <w:p>
      <w:pPr>
        <w:pBdr>
          <w:bottom w:val="single" w:color="534AB7" w:sz="12" w:space="4"/>
        </w:pBdr>
        <w:spacing w:after="60" w:before="280"/>
      </w:pPr>
      <w:r>
        <w:rPr>
          <w:rFonts w:ascii="Arial" w:cs="Arial" w:eastAsia="Arial" w:hAnsi="Arial"/>
          <w:b/>
          <w:bCs/>
          <w:color w:val="534AB7"/>
          <w:sz w:val="26"/>
          <w:szCs w:val="26"/>
        </w:rPr>
        <w:t xml:space="preserve">SQL Techniques Used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EEDFE" w:sz="4"/>
              <w:left w:val="single" w:color="EEEDFE" w:sz="4"/>
              <w:bottom w:val="single" w:color="EEEDFE" w:sz="4"/>
              <w:right w:val="none" w:color="FFFFFF" w:sz="0"/>
            </w:tcBorders>
            <w:shd w:fill="EEEDFE" w:val="clear"/>
            <w:tcMar>
              <w:top w:type="dxa" w:w="80"/>
              <w:left w:type="dxa" w:w="160"/>
              <w:bottom w:type="dxa" w:w="80"/>
              <w:right w:type="dxa" w:w="120"/>
            </w:tcMar>
            <w:vAlign w:val="center"/>
          </w:tcPr>
          <w:p>
            <w:r>
              <w:rPr>
                <w:rFonts w:ascii="Arial" w:cs="Arial" w:eastAsia="Arial" w:hAnsi="Arial"/>
                <w:b/>
                <w:bCs/>
                <w:color w:val="534AB7"/>
                <w:sz w:val="18"/>
                <w:szCs w:val="18"/>
              </w:rPr>
              <w:t xml:space="preserve">DDL</w:t>
            </w:r>
          </w:p>
        </w:tc>
        <w:tc>
          <w:tcPr>
            <w:tcW w:type="dxa" w:w="7160"/>
            <w:tcBorders>
              <w:top w:val="single" w:color="EEEDFE" w:sz="4"/>
              <w:left w:val="none" w:color="FFFFFF" w:sz="0"/>
              <w:bottom w:val="single" w:color="EEEDFE" w:sz="4"/>
              <w:right w:val="single" w:color="EEEDFE"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CREATE TABLE, PRIMARY KEY, FOREIGN KEY, NOT NULL constraints</w:t>
            </w:r>
          </w:p>
        </w:tc>
      </w:tr>
      <w:tr>
        <w:tc>
          <w:tcPr>
            <w:tcW w:type="dxa" w:w="2200"/>
            <w:tcBorders>
              <w:top w:val="single" w:color="E6F1FB" w:sz="4"/>
              <w:left w:val="single" w:color="E6F1FB" w:sz="4"/>
              <w:bottom w:val="single" w:color="E6F1FB" w:sz="4"/>
              <w:right w:val="none" w:color="FFFFFF" w:sz="0"/>
            </w:tcBorders>
            <w:shd w:fill="E6F1FB" w:val="clear"/>
            <w:tcMar>
              <w:top w:type="dxa" w:w="80"/>
              <w:left w:type="dxa" w:w="160"/>
              <w:bottom w:type="dxa" w:w="80"/>
              <w:right w:type="dxa" w:w="120"/>
            </w:tcMar>
            <w:vAlign w:val="center"/>
          </w:tcPr>
          <w:p>
            <w:r>
              <w:rPr>
                <w:rFonts w:ascii="Arial" w:cs="Arial" w:eastAsia="Arial" w:hAnsi="Arial"/>
                <w:b/>
                <w:bCs/>
                <w:color w:val="185FA5"/>
                <w:sz w:val="18"/>
                <w:szCs w:val="18"/>
              </w:rPr>
              <w:t xml:space="preserve">Joins</w:t>
            </w:r>
          </w:p>
        </w:tc>
        <w:tc>
          <w:tcPr>
            <w:tcW w:type="dxa" w:w="7160"/>
            <w:tcBorders>
              <w:top w:val="single" w:color="E6F1FB" w:sz="4"/>
              <w:left w:val="none" w:color="FFFFFF" w:sz="0"/>
              <w:bottom w:val="single" w:color="E6F1FB" w:sz="4"/>
              <w:right w:val="single" w:color="E6F1FB"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INNER JOIN, LEFT JOIN, RIGHT JOIN for multi-table analysis</w:t>
            </w:r>
          </w:p>
        </w:tc>
      </w:tr>
      <w:tr>
        <w:tc>
          <w:tcPr>
            <w:tcW w:type="dxa" w:w="2200"/>
            <w:tcBorders>
              <w:top w:val="single" w:color="E1F5EE" w:sz="4"/>
              <w:left w:val="single" w:color="E1F5EE" w:sz="4"/>
              <w:bottom w:val="single" w:color="E1F5EE" w:sz="4"/>
              <w:right w:val="none" w:color="FFFFFF" w:sz="0"/>
            </w:tcBorders>
            <w:shd w:fill="E1F5EE" w:val="clear"/>
            <w:tcMar>
              <w:top w:type="dxa" w:w="80"/>
              <w:left w:type="dxa" w:w="160"/>
              <w:bottom w:type="dxa" w:w="80"/>
              <w:right w:type="dxa" w:w="120"/>
            </w:tcMar>
            <w:vAlign w:val="center"/>
          </w:tcPr>
          <w:p>
            <w:r>
              <w:rPr>
                <w:rFonts w:ascii="Arial" w:cs="Arial" w:eastAsia="Arial" w:hAnsi="Arial"/>
                <w:b/>
                <w:bCs/>
                <w:color w:val="0F6E56"/>
                <w:sz w:val="18"/>
                <w:szCs w:val="18"/>
              </w:rPr>
              <w:t xml:space="preserve">Aggregations</w:t>
            </w:r>
          </w:p>
        </w:tc>
        <w:tc>
          <w:tcPr>
            <w:tcW w:type="dxa" w:w="7160"/>
            <w:tcBorders>
              <w:top w:val="single" w:color="E1F5EE" w:sz="4"/>
              <w:left w:val="none" w:color="FFFFFF" w:sz="0"/>
              <w:bottom w:val="single" w:color="E1F5EE" w:sz="4"/>
              <w:right w:val="single" w:color="E1F5EE"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SUM(), COUNT(), COUNT(DISTINCT) with GROUP BY and HAVING</w:t>
            </w:r>
          </w:p>
        </w:tc>
      </w:tr>
      <w:tr>
        <w:tc>
          <w:tcPr>
            <w:tcW w:type="dxa" w:w="2200"/>
            <w:tcBorders>
              <w:top w:val="single" w:color="FAEEDA" w:sz="4"/>
              <w:left w:val="single" w:color="FAEEDA" w:sz="4"/>
              <w:bottom w:val="single" w:color="FAEEDA" w:sz="4"/>
              <w:right w:val="none" w:color="FFFFFF" w:sz="0"/>
            </w:tcBorders>
            <w:shd w:fill="FAEEDA" w:val="clear"/>
            <w:tcMar>
              <w:top w:type="dxa" w:w="80"/>
              <w:left w:type="dxa" w:w="160"/>
              <w:bottom w:type="dxa" w:w="80"/>
              <w:right w:type="dxa" w:w="120"/>
            </w:tcMar>
            <w:vAlign w:val="center"/>
          </w:tcPr>
          <w:p>
            <w:r>
              <w:rPr>
                <w:rFonts w:ascii="Arial" w:cs="Arial" w:eastAsia="Arial" w:hAnsi="Arial"/>
                <w:b/>
                <w:bCs/>
                <w:color w:val="854F0B"/>
                <w:sz w:val="18"/>
                <w:szCs w:val="18"/>
              </w:rPr>
              <w:t xml:space="preserve">Filtering</w:t>
            </w:r>
          </w:p>
        </w:tc>
        <w:tc>
          <w:tcPr>
            <w:tcW w:type="dxa" w:w="7160"/>
            <w:tcBorders>
              <w:top w:val="single" w:color="FAEEDA" w:sz="4"/>
              <w:left w:val="none" w:color="FFFFFF" w:sz="0"/>
              <w:bottom w:val="single" w:color="FAEEDA" w:sz="4"/>
              <w:right w:val="single" w:color="FAEEDA"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WHERE, ORDER BY, HAVING for conditional data retrieval</w:t>
            </w:r>
          </w:p>
        </w:tc>
      </w:tr>
      <w:tr>
        <w:tc>
          <w:tcPr>
            <w:tcW w:type="dxa" w:w="2200"/>
            <w:tcBorders>
              <w:top w:val="single" w:color="FAECE7" w:sz="4"/>
              <w:left w:val="single" w:color="FAECE7" w:sz="4"/>
              <w:bottom w:val="single" w:color="FAECE7" w:sz="4"/>
              <w:right w:val="none" w:color="FFFFFF" w:sz="0"/>
            </w:tcBorders>
            <w:shd w:fill="FAECE7" w:val="clear"/>
            <w:tcMar>
              <w:top w:type="dxa" w:w="80"/>
              <w:left w:type="dxa" w:w="160"/>
              <w:bottom w:type="dxa" w:w="80"/>
              <w:right w:type="dxa" w:w="120"/>
            </w:tcMar>
            <w:vAlign w:val="center"/>
          </w:tcPr>
          <w:p>
            <w:r>
              <w:rPr>
                <w:rFonts w:ascii="Arial" w:cs="Arial" w:eastAsia="Arial" w:hAnsi="Arial"/>
                <w:b/>
                <w:bCs/>
                <w:color w:val="993C1D"/>
                <w:sz w:val="18"/>
                <w:szCs w:val="18"/>
              </w:rPr>
              <w:t xml:space="preserve">Subqueries</w:t>
            </w:r>
          </w:p>
        </w:tc>
        <w:tc>
          <w:tcPr>
            <w:tcW w:type="dxa" w:w="7160"/>
            <w:tcBorders>
              <w:top w:val="single" w:color="FAECE7" w:sz="4"/>
              <w:left w:val="none" w:color="FFFFFF" w:sz="0"/>
              <w:bottom w:val="single" w:color="FAECE7" w:sz="4"/>
              <w:right w:val="single" w:color="FAECE7"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Nested queries for cross-category learner identification</w:t>
            </w:r>
          </w:p>
        </w:tc>
      </w:tr>
      <w:tr>
        <w:tc>
          <w:tcPr>
            <w:tcW w:type="dxa" w:w="2200"/>
            <w:tcBorders>
              <w:top w:val="single" w:color="EAF3DE" w:sz="4"/>
              <w:left w:val="single" w:color="EAF3DE" w:sz="4"/>
              <w:bottom w:val="single" w:color="EAF3DE" w:sz="4"/>
              <w:right w:val="none" w:color="FFFFFF" w:sz="0"/>
            </w:tcBorders>
            <w:shd w:fill="EAF3DE" w:val="clear"/>
            <w:tcMar>
              <w:top w:type="dxa" w:w="80"/>
              <w:left w:type="dxa" w:w="160"/>
              <w:bottom w:type="dxa" w:w="80"/>
              <w:right w:type="dxa" w:w="120"/>
            </w:tcMar>
            <w:vAlign w:val="center"/>
          </w:tcPr>
          <w:p>
            <w:r>
              <w:rPr>
                <w:rFonts w:ascii="Arial" w:cs="Arial" w:eastAsia="Arial" w:hAnsi="Arial"/>
                <w:b/>
                <w:bCs/>
                <w:color w:val="3B6D11"/>
                <w:sz w:val="18"/>
                <w:szCs w:val="18"/>
              </w:rPr>
              <w:t xml:space="preserve">Null Handling</w:t>
            </w:r>
          </w:p>
        </w:tc>
        <w:tc>
          <w:tcPr>
            <w:tcW w:type="dxa" w:w="7160"/>
            <w:tcBorders>
              <w:top w:val="single" w:color="EAF3DE" w:sz="4"/>
              <w:left w:val="none" w:color="FFFFFF" w:sz="0"/>
              <w:bottom w:val="single" w:color="EAF3DE" w:sz="4"/>
              <w:right w:val="single" w:color="EAF3DE"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Detecting inactive learners and courses with zero purchases</w:t>
            </w:r>
          </w:p>
        </w:tc>
      </w:tr>
    </w:tbl>
    <w:p>
      <w:pPr>
        <w:spacing w:after="0" w:before="60"/>
      </w:pPr>
      <w:r>
        <w:t xml:space="preserve"/>
      </w:r>
    </w:p>
    <w:p>
      <w:pPr>
        <w:pBdr>
          <w:bottom w:val="single" w:color="185FA5" w:sz="12" w:space="4"/>
        </w:pBdr>
        <w:spacing w:after="60" w:before="280"/>
      </w:pPr>
      <w:r>
        <w:rPr>
          <w:rFonts w:ascii="Arial" w:cs="Arial" w:eastAsia="Arial" w:hAnsi="Arial"/>
          <w:b/>
          <w:bCs/>
          <w:color w:val="185FA5"/>
          <w:sz w:val="26"/>
          <w:szCs w:val="26"/>
        </w:rPr>
        <w:t xml:space="preserve">Analysis Performed</w:t>
      </w:r>
    </w:p>
    <w:p>
      <w:pPr>
        <w:pStyle w:val="ListParagraph"/>
        <w:numPr>
          <w:ilvl w:val="0"/>
          <w:numId w:val="2"/>
        </w:numPr>
        <w:spacing w:after="40" w:before="40"/>
      </w:pPr>
      <w:r>
        <w:rPr>
          <w:rFonts w:ascii="Arial" w:cs="Arial" w:eastAsia="Arial" w:hAnsi="Arial"/>
          <w:color w:val="333333"/>
          <w:sz w:val="20"/>
          <w:szCs w:val="20"/>
        </w:rPr>
        <w:t xml:space="preserve">Used INNER JOIN to return matched learner–course purchase records for transactional analysis.</w:t>
      </w:r>
    </w:p>
    <w:p>
      <w:pPr>
        <w:pStyle w:val="ListParagraph"/>
        <w:numPr>
          <w:ilvl w:val="0"/>
          <w:numId w:val="2"/>
        </w:numPr>
        <w:spacing w:after="40" w:before="40"/>
      </w:pPr>
      <w:r>
        <w:rPr>
          <w:rFonts w:ascii="Arial" w:cs="Arial" w:eastAsia="Arial" w:hAnsi="Arial"/>
          <w:color w:val="333333"/>
          <w:sz w:val="20"/>
          <w:szCs w:val="20"/>
        </w:rPr>
        <w:t xml:space="preserve">Applied LEFT JOIN to surface learners with zero purchases — flagging inactive users for re-engagement.</w:t>
      </w:r>
    </w:p>
    <w:p>
      <w:pPr>
        <w:pStyle w:val="ListParagraph"/>
        <w:numPr>
          <w:ilvl w:val="0"/>
          <w:numId w:val="2"/>
        </w:numPr>
        <w:spacing w:after="40" w:before="40"/>
      </w:pPr>
      <w:r>
        <w:rPr>
          <w:rFonts w:ascii="Arial" w:cs="Arial" w:eastAsia="Arial" w:hAnsi="Arial"/>
          <w:color w:val="333333"/>
          <w:sz w:val="20"/>
          <w:szCs w:val="20"/>
        </w:rPr>
        <w:t xml:space="preserve">Applied RIGHT JOIN to identify courses with no enrolments, exposing marketing gaps.</w:t>
      </w:r>
    </w:p>
    <w:p>
      <w:pPr>
        <w:pStyle w:val="ListParagraph"/>
        <w:numPr>
          <w:ilvl w:val="0"/>
          <w:numId w:val="2"/>
        </w:numPr>
        <w:spacing w:after="40" w:before="40"/>
      </w:pPr>
      <w:r>
        <w:rPr>
          <w:rFonts w:ascii="Arial" w:cs="Arial" w:eastAsia="Arial" w:hAnsi="Arial"/>
          <w:color w:val="333333"/>
          <w:sz w:val="20"/>
          <w:szCs w:val="20"/>
        </w:rPr>
        <w:t xml:space="preserve">Aggregated spend per learner using SUM() and GROUP BY to identify highest-value customers.</w:t>
      </w:r>
    </w:p>
    <w:p>
      <w:pPr>
        <w:pStyle w:val="ListParagraph"/>
        <w:numPr>
          <w:ilvl w:val="0"/>
          <w:numId w:val="2"/>
        </w:numPr>
        <w:spacing w:after="40" w:before="40"/>
      </w:pPr>
      <w:r>
        <w:rPr>
          <w:rFonts w:ascii="Arial" w:cs="Arial" w:eastAsia="Arial" w:hAnsi="Arial"/>
          <w:color w:val="333333"/>
          <w:sz w:val="20"/>
          <w:szCs w:val="20"/>
        </w:rPr>
        <w:t xml:space="preserve">Ranked courses by purchase volume to surface demand-driven content.</w:t>
      </w:r>
    </w:p>
    <w:p>
      <w:pPr>
        <w:pStyle w:val="ListParagraph"/>
        <w:numPr>
          <w:ilvl w:val="0"/>
          <w:numId w:val="2"/>
        </w:numPr>
        <w:spacing w:after="40" w:before="40"/>
      </w:pPr>
      <w:r>
        <w:rPr>
          <w:rFonts w:ascii="Arial" w:cs="Arial" w:eastAsia="Arial" w:hAnsi="Arial"/>
          <w:color w:val="333333"/>
          <w:sz w:val="20"/>
          <w:szCs w:val="20"/>
        </w:rPr>
        <w:t xml:space="preserve">Segmented revenue and unique learner counts by course category.</w:t>
      </w:r>
    </w:p>
    <w:p>
      <w:pPr>
        <w:pStyle w:val="ListParagraph"/>
        <w:numPr>
          <w:ilvl w:val="0"/>
          <w:numId w:val="2"/>
        </w:numPr>
        <w:spacing w:after="40" w:before="40"/>
      </w:pPr>
      <w:r>
        <w:rPr>
          <w:rFonts w:ascii="Arial" w:cs="Arial" w:eastAsia="Arial" w:hAnsi="Arial"/>
          <w:color w:val="333333"/>
          <w:sz w:val="20"/>
          <w:szCs w:val="20"/>
        </w:rPr>
        <w:t xml:space="preserve">Used subqueries to identify learners enrolled across multiple categories.</w:t>
      </w:r>
    </w:p>
    <w:p>
      <w:pPr>
        <w:spacing w:after="0" w:before="60"/>
      </w:pPr>
      <w:r>
        <w:t xml:space="preserve"/>
      </w:r>
    </w:p>
    <w:p>
      <w:pPr>
        <w:pBdr>
          <w:bottom w:val="single" w:color="993C1D" w:sz="12" w:space="4"/>
        </w:pBdr>
        <w:spacing w:after="60" w:before="280"/>
      </w:pPr>
      <w:r>
        <w:rPr>
          <w:rFonts w:ascii="Arial" w:cs="Arial" w:eastAsia="Arial" w:hAnsi="Arial"/>
          <w:b/>
          <w:bCs/>
          <w:color w:val="993C1D"/>
          <w:sz w:val="26"/>
          <w:szCs w:val="26"/>
        </w:rPr>
        <w:t xml:space="preserve">Key Findings &amp; Insights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200"/>
            <w:tcBorders>
              <w:top w:val="single" w:color="EEEDFE" w:sz="4"/>
              <w:left w:val="single" w:color="EEEDFE" w:sz="4"/>
              <w:bottom w:val="single" w:color="EEEDFE" w:sz="4"/>
              <w:right w:val="none" w:color="FFFFFF" w:sz="0"/>
            </w:tcBorders>
            <w:shd w:fill="EEEDFE" w:val="clear"/>
            <w:tcMar>
              <w:top w:type="dxa" w:w="80"/>
              <w:left w:type="dxa" w:w="160"/>
              <w:bottom w:type="dxa" w:w="80"/>
              <w:right w:type="dxa" w:w="120"/>
            </w:tcMar>
            <w:vAlign w:val="center"/>
          </w:tcPr>
          <w:p>
            <w:r>
              <w:rPr>
                <w:rFonts w:ascii="Arial" w:cs="Arial" w:eastAsia="Arial" w:hAnsi="Arial"/>
                <w:b/>
                <w:bCs/>
                <w:color w:val="534AB7"/>
                <w:sz w:val="18"/>
                <w:szCs w:val="18"/>
              </w:rPr>
              <w:t xml:space="preserve">JOIN ANALYSIS</w:t>
            </w:r>
          </w:p>
        </w:tc>
        <w:tc>
          <w:tcPr>
            <w:tcW w:type="dxa" w:w="7160"/>
            <w:tcBorders>
              <w:top w:val="single" w:color="EEEDFE" w:sz="4"/>
              <w:left w:val="none" w:color="FFFFFF" w:sz="0"/>
              <w:bottom w:val="single" w:color="EEEDFE" w:sz="4"/>
              <w:right w:val="single" w:color="EEEDFE"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3 learners — John David, Priya Sharma, Emma Watson — had zero purchase records, flagged via LEFT JOIN as inactive users requiring re-engagement.</w:t>
            </w:r>
          </w:p>
        </w:tc>
      </w:tr>
      <w:tr>
        <w:tc>
          <w:tcPr>
            <w:tcW w:type="dxa" w:w="2200"/>
            <w:tcBorders>
              <w:top w:val="single" w:color="E6F1FB" w:sz="4"/>
              <w:left w:val="single" w:color="E6F1FB" w:sz="4"/>
              <w:bottom w:val="single" w:color="E6F1FB" w:sz="4"/>
              <w:right w:val="none" w:color="FFFFFF" w:sz="0"/>
            </w:tcBorders>
            <w:shd w:fill="E6F1FB" w:val="clear"/>
            <w:tcMar>
              <w:top w:type="dxa" w:w="80"/>
              <w:left w:type="dxa" w:w="160"/>
              <w:bottom w:type="dxa" w:w="80"/>
              <w:right w:type="dxa" w:w="120"/>
            </w:tcMar>
            <w:vAlign w:val="center"/>
          </w:tcPr>
          <w:p>
            <w:r>
              <w:rPr>
                <w:rFonts w:ascii="Arial" w:cs="Arial" w:eastAsia="Arial" w:hAnsi="Arial"/>
                <w:b/>
                <w:bCs/>
                <w:color w:val="185FA5"/>
                <w:sz w:val="18"/>
                <w:szCs w:val="18"/>
              </w:rPr>
              <w:t xml:space="preserve">UNPURCHASED COURSES</w:t>
            </w:r>
          </w:p>
        </w:tc>
        <w:tc>
          <w:tcPr>
            <w:tcW w:type="dxa" w:w="7160"/>
            <w:tcBorders>
              <w:top w:val="single" w:color="E6F1FB" w:sz="4"/>
              <w:left w:val="none" w:color="FFFFFF" w:sz="0"/>
              <w:bottom w:val="single" w:color="E6F1FB" w:sz="4"/>
              <w:right w:val="single" w:color="E6F1FB"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Blockchain Basics, Digital Marketing Pro &amp; Tableau Masterclass showed zero enrolments, surfaced by RIGHT JOIN as marketing and content gaps.</w:t>
            </w:r>
          </w:p>
        </w:tc>
      </w:tr>
      <w:tr>
        <w:tc>
          <w:tcPr>
            <w:tcW w:type="dxa" w:w="2200"/>
            <w:tcBorders>
              <w:top w:val="single" w:color="E1F5EE" w:sz="4"/>
              <w:left w:val="single" w:color="E1F5EE" w:sz="4"/>
              <w:bottom w:val="single" w:color="E1F5EE" w:sz="4"/>
              <w:right w:val="none" w:color="FFFFFF" w:sz="0"/>
            </w:tcBorders>
            <w:shd w:fill="E1F5EE" w:val="clear"/>
            <w:tcMar>
              <w:top w:type="dxa" w:w="80"/>
              <w:left w:type="dxa" w:w="160"/>
              <w:bottom w:type="dxa" w:w="80"/>
              <w:right w:type="dxa" w:w="120"/>
            </w:tcMar>
            <w:vAlign w:val="center"/>
          </w:tcPr>
          <w:p>
            <w:r>
              <w:rPr>
                <w:rFonts w:ascii="Arial" w:cs="Arial" w:eastAsia="Arial" w:hAnsi="Arial"/>
                <w:b/>
                <w:bCs/>
                <w:color w:val="0F6E56"/>
                <w:sz w:val="18"/>
                <w:szCs w:val="18"/>
              </w:rPr>
              <w:t xml:space="preserve">TOP SPENDER</w:t>
            </w:r>
          </w:p>
        </w:tc>
        <w:tc>
          <w:tcPr>
            <w:tcW w:type="dxa" w:w="7160"/>
            <w:tcBorders>
              <w:top w:val="single" w:color="E1F5EE" w:sz="4"/>
              <w:left w:val="none" w:color="FFFFFF" w:sz="0"/>
              <w:bottom w:val="single" w:color="E1F5EE" w:sz="4"/>
              <w:right w:val="single" w:color="E1F5EE"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Ethan Miller emerged as the highest-spending learner, purchasing multiple courses across high-priced categories — ideal for loyalty rewards.</w:t>
            </w:r>
          </w:p>
        </w:tc>
      </w:tr>
      <w:tr>
        <w:tc>
          <w:tcPr>
            <w:tcW w:type="dxa" w:w="2200"/>
            <w:tcBorders>
              <w:top w:val="single" w:color="FAECE7" w:sz="4"/>
              <w:left w:val="single" w:color="FAECE7" w:sz="4"/>
              <w:bottom w:val="single" w:color="FAECE7" w:sz="4"/>
              <w:right w:val="none" w:color="FFFFFF" w:sz="0"/>
            </w:tcBorders>
            <w:shd w:fill="FAECE7" w:val="clear"/>
            <w:tcMar>
              <w:top w:type="dxa" w:w="80"/>
              <w:left w:type="dxa" w:w="160"/>
              <w:bottom w:type="dxa" w:w="80"/>
              <w:right w:type="dxa" w:w="120"/>
            </w:tcMar>
            <w:vAlign w:val="center"/>
          </w:tcPr>
          <w:p>
            <w:r>
              <w:rPr>
                <w:rFonts w:ascii="Arial" w:cs="Arial" w:eastAsia="Arial" w:hAnsi="Arial"/>
                <w:b/>
                <w:bCs/>
                <w:color w:val="993C1D"/>
                <w:sz w:val="18"/>
                <w:szCs w:val="18"/>
              </w:rPr>
              <w:t xml:space="preserve">MULTI-CATEGORY</w:t>
            </w:r>
          </w:p>
        </w:tc>
        <w:tc>
          <w:tcPr>
            <w:tcW w:type="dxa" w:w="7160"/>
            <w:tcBorders>
              <w:top w:val="single" w:color="FAECE7" w:sz="4"/>
              <w:left w:val="none" w:color="FFFFFF" w:sz="0"/>
              <w:bottom w:val="single" w:color="FAECE7" w:sz="4"/>
              <w:right w:val="single" w:color="FAECE7" w:sz="4"/>
            </w:tcBorders>
            <w:shd w:fill="FFFFFF" w:val="clear"/>
            <w:tcMar>
              <w:top w:type="dxa" w:w="80"/>
              <w:left w:type="dxa" w:w="160"/>
              <w:bottom w:type="dxa" w:w="80"/>
              <w:right w:type="dxa" w:w="120"/>
            </w:tcMar>
            <w:vAlign w:val="center"/>
          </w:tcPr>
          <w:p>
            <w:r>
              <w:rPr>
                <w:rFonts w:ascii="Arial" w:cs="Arial" w:eastAsia="Arial" w:hAnsi="Arial"/>
                <w:color w:val="333333"/>
                <w:sz w:val="20"/>
                <w:szCs w:val="20"/>
              </w:rPr>
              <w:t xml:space="preserve">Daniel Lee, Ethan Miller, Karthik Raj, Michael Scott &amp; Rahul Verma enrolled across more than one category, showing high engagement.</w:t>
            </w:r>
          </w:p>
        </w:tc>
      </w:tr>
    </w:tbl>
    <w:p>
      <w:pPr>
        <w:spacing w:after="0" w:before="100"/>
      </w:pPr>
      <w:r>
        <w:t xml:space="preserve"/>
      </w:r>
    </w:p>
    <w:p>
      <w:pPr>
        <w:pBdr>
          <w:bottom w:val="single" w:color="854F0B" w:sz="12" w:space="4"/>
        </w:pBdr>
        <w:spacing w:after="60" w:before="280"/>
      </w:pPr>
      <w:r>
        <w:rPr>
          <w:rFonts w:ascii="Arial" w:cs="Arial" w:eastAsia="Arial" w:hAnsi="Arial"/>
          <w:b/>
          <w:bCs/>
          <w:color w:val="854F0B"/>
          <w:sz w:val="26"/>
          <w:szCs w:val="26"/>
        </w:rPr>
        <w:t xml:space="preserve">Top 3 Purchased Courses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80"/>
        <w:gridCol w:w="2920"/>
        <w:gridCol w:w="80"/>
        <w:gridCol w:w="2920"/>
        <w:gridCol w:w="80"/>
        <w:gridCol w:w="360"/>
      </w:tblGrid>
      <w:tr>
        <w:tc>
          <w:tcPr>
            <w:tcW w:type="dxa" w:w="2920"/>
            <w:tcBorders>
              <w:top w:val="single" w:color="FAEEDA" w:sz="4"/>
              <w:left w:val="single" w:color="FAEEDA" w:sz="4"/>
              <w:bottom w:val="single" w:color="FAEEDA" w:sz="4"/>
              <w:right w:val="single" w:color="FAEEDA" w:sz="4"/>
            </w:tcBorders>
            <w:shd w:fill="FAEEDA" w:val="clear"/>
            <w:tcMar>
              <w:top w:type="dxa" w:w="100"/>
              <w:left w:type="dxa" w:w="140"/>
              <w:bottom w:type="dxa" w:w="100"/>
              <w:right w:type="dxa" w:w="140"/>
            </w:tcMar>
            <w:vAlign w:val="center"/>
          </w:tcPr>
          <w:p>
            <w:pPr>
              <w:jc w:val="center"/>
            </w:pPr>
            <w:r>
              <w:rPr>
                <w:rFonts w:ascii="Arial" w:cs="Arial" w:eastAsia="Arial" w:hAnsi="Arial"/>
                <w:b/>
                <w:bCs/>
                <w:color w:val="854F0B"/>
                <w:sz w:val="20"/>
                <w:szCs w:val="20"/>
              </w:rPr>
              <w:t xml:space="preserve">#1  Gold</w:t>
            </w:r>
          </w:p>
        </w:tc>
        <w:tc>
          <w:tcPr>
            <w:tcW w:type="dxa" w:w="80"/>
            <w:tcBorders>
              <w:top w:val="none" w:color="FFFFFF" w:sz="0"/>
              <w:left w:val="none" w:color="FFFFFF" w:sz="0"/>
              <w:bottom w:val="none" w:color="FFFFFF" w:sz="0"/>
              <w:right w:val="none" w:color="FFFFFF" w:sz="0"/>
            </w:tcBorders>
            <w:shd w:fill="FFFFFF" w:val="clear"/>
          </w:tcPr>
          <w:p/>
        </w:tc>
        <w:tc>
          <w:tcPr>
            <w:tcW w:type="dxa" w:w="2920"/>
            <w:tcBorders>
              <w:top w:val="single" w:color="F5F5F5" w:sz="4"/>
              <w:left w:val="single" w:color="F5F5F5" w:sz="4"/>
              <w:bottom w:val="single" w:color="F5F5F5" w:sz="4"/>
              <w:right w:val="single" w:color="F5F5F5"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444444"/>
                <w:sz w:val="20"/>
                <w:szCs w:val="20"/>
              </w:rPr>
              <w:t xml:space="preserve">#2  Silver</w:t>
            </w:r>
          </w:p>
        </w:tc>
        <w:tc>
          <w:tcPr>
            <w:tcW w:type="dxa" w:w="80"/>
            <w:tcBorders>
              <w:top w:val="none" w:color="FFFFFF" w:sz="0"/>
              <w:left w:val="none" w:color="FFFFFF" w:sz="0"/>
              <w:bottom w:val="none" w:color="FFFFFF" w:sz="0"/>
              <w:right w:val="none" w:color="FFFFFF" w:sz="0"/>
            </w:tcBorders>
            <w:shd w:fill="FFFFFF" w:val="clear"/>
          </w:tcPr>
          <w:p/>
        </w:tc>
        <w:tc>
          <w:tcPr>
            <w:tcW w:type="dxa" w:w="2920"/>
            <w:tcBorders>
              <w:top w:val="single" w:color="FAECE7" w:sz="4"/>
              <w:left w:val="single" w:color="FAECE7" w:sz="4"/>
              <w:bottom w:val="single" w:color="FAECE7" w:sz="4"/>
              <w:right w:val="single" w:color="FAECE7" w:sz="4"/>
            </w:tcBorders>
            <w:shd w:fill="FAECE7" w:val="clear"/>
            <w:tcMar>
              <w:top w:type="dxa" w:w="100"/>
              <w:left w:type="dxa" w:w="140"/>
              <w:bottom w:type="dxa" w:w="100"/>
              <w:right w:type="dxa" w:w="140"/>
            </w:tcMar>
            <w:vAlign w:val="center"/>
          </w:tcPr>
          <w:p>
            <w:pPr>
              <w:jc w:val="center"/>
            </w:pPr>
            <w:r>
              <w:rPr>
                <w:rFonts w:ascii="Arial" w:cs="Arial" w:eastAsia="Arial" w:hAnsi="Arial"/>
                <w:b/>
                <w:bCs/>
                <w:color w:val="993C1D"/>
                <w:sz w:val="20"/>
                <w:szCs w:val="20"/>
              </w:rPr>
              <w:t xml:space="preserve">#3  Bronze</w:t>
            </w:r>
          </w:p>
        </w:tc>
        <w:tc>
          <w:tcPr>
            <w:tcW w:type="dxa" w:w="80"/>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shd w:fill="FFFFFF" w:val="clear"/>
          </w:tcP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80"/>
        <w:gridCol w:w="2920"/>
        <w:gridCol w:w="80"/>
        <w:gridCol w:w="2920"/>
        <w:gridCol w:w="80"/>
        <w:gridCol w:w="360"/>
      </w:tblGrid>
      <w:tr>
        <w:tc>
          <w:tcPr>
            <w:tcW w:type="dxa" w:w="2920"/>
            <w:tcBorders>
              <w:top w:val="single" w:color="FAEEDA" w:sz="4"/>
              <w:left w:val="single" w:color="FAEEDA" w:sz="4"/>
              <w:bottom w:val="single" w:color="FAEEDA" w:sz="4"/>
              <w:right w:val="single" w:color="FAEEDA" w:sz="4"/>
            </w:tcBorders>
            <w:shd w:fill="FAEEDA" w:val="clear"/>
            <w:tcMar>
              <w:top w:type="dxa" w:w="80"/>
              <w:left w:type="dxa" w:w="120"/>
              <w:bottom w:type="dxa" w:w="80"/>
              <w:right w:type="dxa" w:w="120"/>
            </w:tcMar>
            <w:vAlign w:val="center"/>
          </w:tcPr>
          <w:p>
            <w:pPr>
              <w:jc w:val="center"/>
            </w:pPr>
            <w:r>
              <w:rPr>
                <w:rFonts w:ascii="Arial" w:cs="Arial" w:eastAsia="Arial" w:hAnsi="Arial"/>
                <w:color w:val="854F0B"/>
                <w:sz w:val="19"/>
                <w:szCs w:val="19"/>
              </w:rPr>
              <w:t xml:space="preserve">Power BI Essentials</w:t>
            </w:r>
          </w:p>
        </w:tc>
        <w:tc>
          <w:tcPr>
            <w:tcW w:type="dxa" w:w="80"/>
            <w:tcBorders>
              <w:top w:val="none" w:color="FFFFFF" w:sz="0"/>
              <w:left w:val="none" w:color="FFFFFF" w:sz="0"/>
              <w:bottom w:val="none" w:color="FFFFFF" w:sz="0"/>
              <w:right w:val="none" w:color="FFFFFF" w:sz="0"/>
            </w:tcBorders>
            <w:shd w:fill="FFFFFF" w:val="clear"/>
          </w:tcPr>
          <w:p/>
        </w:tc>
        <w:tc>
          <w:tcPr>
            <w:tcW w:type="dxa" w:w="29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9"/>
                <w:szCs w:val="19"/>
              </w:rPr>
              <w:t xml:space="preserve">Java Programming</w:t>
            </w:r>
          </w:p>
        </w:tc>
        <w:tc>
          <w:tcPr>
            <w:tcW w:type="dxa" w:w="80"/>
            <w:tcBorders>
              <w:top w:val="none" w:color="FFFFFF" w:sz="0"/>
              <w:left w:val="none" w:color="FFFFFF" w:sz="0"/>
              <w:bottom w:val="none" w:color="FFFFFF" w:sz="0"/>
              <w:right w:val="none" w:color="FFFFFF" w:sz="0"/>
            </w:tcBorders>
            <w:shd w:fill="FFFFFF" w:val="clear"/>
          </w:tcPr>
          <w:p/>
        </w:tc>
        <w:tc>
          <w:tcPr>
            <w:tcW w:type="dxa" w:w="2920"/>
            <w:tcBorders>
              <w:top w:val="single" w:color="FAECE7" w:sz="4"/>
              <w:left w:val="single" w:color="FAECE7" w:sz="4"/>
              <w:bottom w:val="single" w:color="FAECE7" w:sz="4"/>
              <w:right w:val="single" w:color="FAECE7" w:sz="4"/>
            </w:tcBorders>
            <w:shd w:fill="FAECE7" w:val="clear"/>
            <w:tcMar>
              <w:top w:type="dxa" w:w="80"/>
              <w:left w:type="dxa" w:w="120"/>
              <w:bottom w:type="dxa" w:w="80"/>
              <w:right w:type="dxa" w:w="120"/>
            </w:tcMar>
            <w:vAlign w:val="center"/>
          </w:tcPr>
          <w:p>
            <w:pPr>
              <w:jc w:val="center"/>
            </w:pPr>
            <w:r>
              <w:rPr>
                <w:rFonts w:ascii="Arial" w:cs="Arial" w:eastAsia="Arial" w:hAnsi="Arial"/>
                <w:color w:val="993C1D"/>
                <w:sz w:val="19"/>
                <w:szCs w:val="19"/>
              </w:rPr>
              <w:t xml:space="preserve">Python for Data Science</w:t>
            </w:r>
          </w:p>
        </w:tc>
        <w:tc>
          <w:tcPr>
            <w:tcW w:type="dxa" w:w="440"/>
            <w:tcBorders>
              <w:top w:val="none" w:color="FFFFFF" w:sz="0"/>
              <w:left w:val="none" w:color="FFFFFF" w:sz="0"/>
              <w:bottom w:val="none" w:color="FFFFFF" w:sz="0"/>
              <w:right w:val="none" w:color="FFFFFF" w:sz="0"/>
            </w:tcBorders>
            <w:shd w:fill="FFFFFF" w:val="clear"/>
          </w:tcPr>
          <w:p/>
        </w:tc>
      </w:tr>
    </w:tbl>
    <w:p>
      <w:pPr>
        <w:spacing w:after="0" w:before="60"/>
      </w:pPr>
      <w:r>
        <w:t xml:space="preserve"/>
      </w:r>
    </w:p>
    <w:p>
      <w:pPr>
        <w:spacing w:after="40" w:before="40"/>
      </w:pPr>
      <w:r>
        <w:rPr>
          <w:rFonts w:ascii="Arial" w:cs="Arial" w:eastAsia="Arial" w:hAnsi="Arial"/>
          <w:i/>
          <w:iCs/>
          <w:color w:val="333333"/>
          <w:sz w:val="20"/>
          <w:szCs w:val="20"/>
        </w:rPr>
        <w:t xml:space="preserve">Top revenue-generating categories: Programming, Data Analytics, AI, and Design — driving the highest learner engagement and platform income.</w:t>
      </w:r>
    </w:p>
    <w:p>
      <w:pPr>
        <w:spacing w:after="0" w:before="60"/>
      </w:pPr>
      <w:r>
        <w:t xml:space="preserve"/>
      </w:r>
    </w:p>
    <w:p>
      <w:pPr>
        <w:pBdr>
          <w:bottom w:val="single" w:color="0F6E56" w:sz="12" w:space="4"/>
        </w:pBdr>
        <w:spacing w:after="60" w:before="280"/>
      </w:pPr>
      <w:r>
        <w:rPr>
          <w:rFonts w:ascii="Arial" w:cs="Arial" w:eastAsia="Arial" w:hAnsi="Arial"/>
          <w:b/>
          <w:bCs/>
          <w:color w:val="0F6E56"/>
          <w:sz w:val="26"/>
          <w:szCs w:val="26"/>
        </w:rPr>
        <w:t xml:space="preserve">Business Recommendations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EEDFE" w:sz="4"/>
              <w:left w:val="single" w:color="EEEDFE" w:sz="4"/>
              <w:bottom w:val="single" w:color="EEEDFE" w:sz="4"/>
              <w:right w:val="none" w:color="FFFFFF" w:sz="0"/>
            </w:tcBorders>
            <w:shd w:fill="EEEDFE" w:val="clear"/>
            <w:tcMar>
              <w:top w:type="dxa" w:w="100"/>
              <w:left w:type="dxa" w:w="120"/>
              <w:bottom w:type="dxa" w:w="100"/>
              <w:right w:type="dxa" w:w="80"/>
            </w:tcMar>
            <w:vAlign w:val="center"/>
          </w:tcPr>
          <w:p>
            <w:pPr>
              <w:jc w:val="center"/>
            </w:pPr>
            <w:r>
              <w:rPr>
                <w:rFonts w:ascii="Arial" w:cs="Arial" w:eastAsia="Arial" w:hAnsi="Arial"/>
                <w:b/>
                <w:bCs/>
                <w:color w:val="534AB7"/>
                <w:sz w:val="24"/>
                <w:szCs w:val="24"/>
              </w:rPr>
              <w:t xml:space="preserve">1</w:t>
            </w:r>
          </w:p>
        </w:tc>
        <w:tc>
          <w:tcPr>
            <w:tcW w:type="dxa" w:w="8760"/>
            <w:tcBorders>
              <w:top w:val="single" w:color="EEEDFE" w:sz="4"/>
              <w:left w:val="none" w:color="FFFFFF" w:sz="0"/>
              <w:bottom w:val="single" w:color="EEEDFE" w:sz="4"/>
              <w:right w:val="single" w:color="EEEDFE" w:sz="4"/>
            </w:tcBorders>
            <w:shd w:fill="FFFFFF" w:val="clear"/>
            <w:tcMar>
              <w:top w:type="dxa" w:w="100"/>
              <w:left w:type="dxa" w:w="160"/>
              <w:bottom w:type="dxa" w:w="100"/>
              <w:right w:type="dxa" w:w="120"/>
            </w:tcMar>
          </w:tcPr>
          <w:p>
            <w:pPr>
              <w:spacing w:after="0" w:before="0"/>
            </w:pPr>
            <w:r>
              <w:rPr>
                <w:rFonts w:ascii="Arial" w:cs="Arial" w:eastAsia="Arial" w:hAnsi="Arial"/>
                <w:b/>
                <w:bCs/>
                <w:color w:val="333333"/>
                <w:sz w:val="20"/>
                <w:szCs w:val="20"/>
              </w:rPr>
              <w:t xml:space="preserve">Scale high-demand categories.</w:t>
            </w:r>
            <w:r>
              <w:rPr>
                <w:rFonts w:ascii="Arial" w:cs="Arial" w:eastAsia="Arial" w:hAnsi="Arial"/>
                <w:color w:val="333333"/>
                <w:sz w:val="20"/>
                <w:szCs w:val="20"/>
              </w:rPr>
              <w:t xml:space="preserve"> Invest in expanding Programming, AI, Data Analytics, and Design course libraries to capitalise on demonstrated learner demand and revenue potential.</w:t>
            </w:r>
          </w:p>
        </w:tc>
      </w:tr>
      <w:tr>
        <w:tc>
          <w:tcPr>
            <w:tcW w:type="dxa" w:w="600"/>
            <w:tcBorders>
              <w:top w:val="single" w:color="E6F1FB" w:sz="4"/>
              <w:left w:val="single" w:color="E6F1FB" w:sz="4"/>
              <w:bottom w:val="single" w:color="E6F1FB" w:sz="4"/>
              <w:right w:val="none" w:color="FFFFFF" w:sz="0"/>
            </w:tcBorders>
            <w:shd w:fill="E6F1FB" w:val="clear"/>
            <w:tcMar>
              <w:top w:type="dxa" w:w="100"/>
              <w:left w:type="dxa" w:w="120"/>
              <w:bottom w:type="dxa" w:w="100"/>
              <w:right w:type="dxa" w:w="80"/>
            </w:tcMar>
            <w:vAlign w:val="center"/>
          </w:tcPr>
          <w:p>
            <w:pPr>
              <w:jc w:val="center"/>
            </w:pPr>
            <w:r>
              <w:rPr>
                <w:rFonts w:ascii="Arial" w:cs="Arial" w:eastAsia="Arial" w:hAnsi="Arial"/>
                <w:b/>
                <w:bCs/>
                <w:color w:val="185FA5"/>
                <w:sz w:val="24"/>
                <w:szCs w:val="24"/>
              </w:rPr>
              <w:t xml:space="preserve">2</w:t>
            </w:r>
          </w:p>
        </w:tc>
        <w:tc>
          <w:tcPr>
            <w:tcW w:type="dxa" w:w="8760"/>
            <w:tcBorders>
              <w:top w:val="single" w:color="E6F1FB" w:sz="4"/>
              <w:left w:val="none" w:color="FFFFFF" w:sz="0"/>
              <w:bottom w:val="single" w:color="E6F1FB" w:sz="4"/>
              <w:right w:val="single" w:color="E6F1FB" w:sz="4"/>
            </w:tcBorders>
            <w:shd w:fill="FFFFFF" w:val="clear"/>
            <w:tcMar>
              <w:top w:type="dxa" w:w="100"/>
              <w:left w:type="dxa" w:w="160"/>
              <w:bottom w:type="dxa" w:w="100"/>
              <w:right w:type="dxa" w:w="120"/>
            </w:tcMar>
          </w:tcPr>
          <w:p>
            <w:pPr>
              <w:spacing w:after="0" w:before="0"/>
            </w:pPr>
            <w:r>
              <w:rPr>
                <w:rFonts w:ascii="Arial" w:cs="Arial" w:eastAsia="Arial" w:hAnsi="Arial"/>
                <w:b/>
                <w:bCs/>
                <w:color w:val="333333"/>
                <w:sz w:val="20"/>
                <w:szCs w:val="20"/>
              </w:rPr>
              <w:t xml:space="preserve">Re-engage inactive learners.</w:t>
            </w:r>
            <w:r>
              <w:rPr>
                <w:rFonts w:ascii="Arial" w:cs="Arial" w:eastAsia="Arial" w:hAnsi="Arial"/>
                <w:color w:val="333333"/>
                <w:sz w:val="20"/>
                <w:szCs w:val="20"/>
              </w:rPr>
              <w:t xml:space="preserve"> Launch targeted email campaigns and first-purchase incentives for John David, Priya Sharma, and Emma Watson.</w:t>
            </w:r>
          </w:p>
        </w:tc>
      </w:tr>
      <w:tr>
        <w:tc>
          <w:tcPr>
            <w:tcW w:type="dxa" w:w="600"/>
            <w:tcBorders>
              <w:top w:val="single" w:color="FAECE7" w:sz="4"/>
              <w:left w:val="single" w:color="FAECE7" w:sz="4"/>
              <w:bottom w:val="single" w:color="FAECE7" w:sz="4"/>
              <w:right w:val="none" w:color="FFFFFF" w:sz="0"/>
            </w:tcBorders>
            <w:shd w:fill="FAECE7" w:val="clear"/>
            <w:tcMar>
              <w:top w:type="dxa" w:w="100"/>
              <w:left w:type="dxa" w:w="120"/>
              <w:bottom w:type="dxa" w:w="100"/>
              <w:right w:type="dxa" w:w="80"/>
            </w:tcMar>
            <w:vAlign w:val="center"/>
          </w:tcPr>
          <w:p>
            <w:pPr>
              <w:jc w:val="center"/>
            </w:pPr>
            <w:r>
              <w:rPr>
                <w:rFonts w:ascii="Arial" w:cs="Arial" w:eastAsia="Arial" w:hAnsi="Arial"/>
                <w:b/>
                <w:bCs/>
                <w:color w:val="993C1D"/>
                <w:sz w:val="24"/>
                <w:szCs w:val="24"/>
              </w:rPr>
              <w:t xml:space="preserve">3</w:t>
            </w:r>
          </w:p>
        </w:tc>
        <w:tc>
          <w:tcPr>
            <w:tcW w:type="dxa" w:w="8760"/>
            <w:tcBorders>
              <w:top w:val="single" w:color="FAECE7" w:sz="4"/>
              <w:left w:val="none" w:color="FFFFFF" w:sz="0"/>
              <w:bottom w:val="single" w:color="FAECE7" w:sz="4"/>
              <w:right w:val="single" w:color="FAECE7" w:sz="4"/>
            </w:tcBorders>
            <w:shd w:fill="FFFFFF" w:val="clear"/>
            <w:tcMar>
              <w:top w:type="dxa" w:w="100"/>
              <w:left w:type="dxa" w:w="160"/>
              <w:bottom w:type="dxa" w:w="100"/>
              <w:right w:type="dxa" w:w="120"/>
            </w:tcMar>
          </w:tcPr>
          <w:p>
            <w:pPr>
              <w:spacing w:after="0" w:before="0"/>
            </w:pPr>
            <w:r>
              <w:rPr>
                <w:rFonts w:ascii="Arial" w:cs="Arial" w:eastAsia="Arial" w:hAnsi="Arial"/>
                <w:b/>
                <w:bCs/>
                <w:color w:val="333333"/>
                <w:sz w:val="20"/>
                <w:szCs w:val="20"/>
              </w:rPr>
              <w:t xml:space="preserve">Revive underperforming courses.</w:t>
            </w:r>
            <w:r>
              <w:rPr>
                <w:rFonts w:ascii="Arial" w:cs="Arial" w:eastAsia="Arial" w:hAnsi="Arial"/>
                <w:color w:val="333333"/>
                <w:sz w:val="20"/>
                <w:szCs w:val="20"/>
              </w:rPr>
              <w:t xml:space="preserve"> Apply bundling, discounts, and improved descriptions for Blockchain Basics, Digital Marketing Pro, and Tableau Masterclass.</w:t>
            </w:r>
          </w:p>
        </w:tc>
      </w:tr>
      <w:tr>
        <w:tc>
          <w:tcPr>
            <w:tcW w:type="dxa" w:w="600"/>
            <w:tcBorders>
              <w:top w:val="single" w:color="FAEEDA" w:sz="4"/>
              <w:left w:val="single" w:color="FAEEDA" w:sz="4"/>
              <w:bottom w:val="single" w:color="FAEEDA" w:sz="4"/>
              <w:right w:val="none" w:color="FFFFFF" w:sz="0"/>
            </w:tcBorders>
            <w:shd w:fill="FAEEDA" w:val="clear"/>
            <w:tcMar>
              <w:top w:type="dxa" w:w="100"/>
              <w:left w:type="dxa" w:w="120"/>
              <w:bottom w:type="dxa" w:w="100"/>
              <w:right w:type="dxa" w:w="80"/>
            </w:tcMar>
            <w:vAlign w:val="center"/>
          </w:tcPr>
          <w:p>
            <w:pPr>
              <w:jc w:val="center"/>
            </w:pPr>
            <w:r>
              <w:rPr>
                <w:rFonts w:ascii="Arial" w:cs="Arial" w:eastAsia="Arial" w:hAnsi="Arial"/>
                <w:b/>
                <w:bCs/>
                <w:color w:val="854F0B"/>
                <w:sz w:val="24"/>
                <w:szCs w:val="24"/>
              </w:rPr>
              <w:t xml:space="preserve">4</w:t>
            </w:r>
          </w:p>
        </w:tc>
        <w:tc>
          <w:tcPr>
            <w:tcW w:type="dxa" w:w="8760"/>
            <w:tcBorders>
              <w:top w:val="single" w:color="FAEEDA" w:sz="4"/>
              <w:left w:val="none" w:color="FFFFFF" w:sz="0"/>
              <w:bottom w:val="single" w:color="FAEEDA" w:sz="4"/>
              <w:right w:val="single" w:color="FAEEDA" w:sz="4"/>
            </w:tcBorders>
            <w:shd w:fill="FFFFFF" w:val="clear"/>
            <w:tcMar>
              <w:top w:type="dxa" w:w="100"/>
              <w:left w:type="dxa" w:w="160"/>
              <w:bottom w:type="dxa" w:w="100"/>
              <w:right w:type="dxa" w:w="120"/>
            </w:tcMar>
          </w:tcPr>
          <w:p>
            <w:pPr>
              <w:spacing w:after="0" w:before="0"/>
            </w:pPr>
            <w:r>
              <w:rPr>
                <w:rFonts w:ascii="Arial" w:cs="Arial" w:eastAsia="Arial" w:hAnsi="Arial"/>
                <w:b/>
                <w:bCs/>
                <w:color w:val="333333"/>
                <w:sz w:val="20"/>
                <w:szCs w:val="20"/>
              </w:rPr>
              <w:t xml:space="preserve">Reward high-value learners.</w:t>
            </w:r>
            <w:r>
              <w:rPr>
                <w:rFonts w:ascii="Arial" w:cs="Arial" w:eastAsia="Arial" w:hAnsi="Arial"/>
                <w:color w:val="333333"/>
                <w:sz w:val="20"/>
                <w:szCs w:val="20"/>
              </w:rPr>
              <w:t xml:space="preserve"> Introduce a loyalty programme targeting top spenders like Ethan Miller to improve retention and lifetime value.</w:t>
            </w:r>
          </w:p>
        </w:tc>
      </w:tr>
      <w:tr>
        <w:tc>
          <w:tcPr>
            <w:tcW w:type="dxa" w:w="600"/>
            <w:tcBorders>
              <w:top w:val="single" w:color="E1F5EE" w:sz="4"/>
              <w:left w:val="single" w:color="E1F5EE" w:sz="4"/>
              <w:bottom w:val="single" w:color="E1F5EE" w:sz="4"/>
              <w:right w:val="none" w:color="FFFFFF" w:sz="0"/>
            </w:tcBorders>
            <w:shd w:fill="E1F5EE" w:val="clear"/>
            <w:tcMar>
              <w:top w:type="dxa" w:w="100"/>
              <w:left w:type="dxa" w:w="120"/>
              <w:bottom w:type="dxa" w:w="100"/>
              <w:right w:type="dxa" w:w="80"/>
            </w:tcMar>
            <w:vAlign w:val="center"/>
          </w:tcPr>
          <w:p>
            <w:pPr>
              <w:jc w:val="center"/>
            </w:pPr>
            <w:r>
              <w:rPr>
                <w:rFonts w:ascii="Arial" w:cs="Arial" w:eastAsia="Arial" w:hAnsi="Arial"/>
                <w:b/>
                <w:bCs/>
                <w:color w:val="0F6E56"/>
                <w:sz w:val="24"/>
                <w:szCs w:val="24"/>
              </w:rPr>
              <w:t xml:space="preserve">5</w:t>
            </w:r>
          </w:p>
        </w:tc>
        <w:tc>
          <w:tcPr>
            <w:tcW w:type="dxa" w:w="8760"/>
            <w:tcBorders>
              <w:top w:val="single" w:color="E1F5EE" w:sz="4"/>
              <w:left w:val="none" w:color="FFFFFF" w:sz="0"/>
              <w:bottom w:val="single" w:color="E1F5EE" w:sz="4"/>
              <w:right w:val="single" w:color="E1F5EE" w:sz="4"/>
            </w:tcBorders>
            <w:shd w:fill="FFFFFF" w:val="clear"/>
            <w:tcMar>
              <w:top w:type="dxa" w:w="100"/>
              <w:left w:type="dxa" w:w="160"/>
              <w:bottom w:type="dxa" w:w="100"/>
              <w:right w:type="dxa" w:w="120"/>
            </w:tcMar>
          </w:tcPr>
          <w:p>
            <w:pPr>
              <w:spacing w:after="0" w:before="0"/>
            </w:pPr>
            <w:r>
              <w:rPr>
                <w:rFonts w:ascii="Arial" w:cs="Arial" w:eastAsia="Arial" w:hAnsi="Arial"/>
                <w:b/>
                <w:bCs/>
                <w:color w:val="333333"/>
                <w:sz w:val="20"/>
                <w:szCs w:val="20"/>
              </w:rPr>
              <w:t xml:space="preserve">Personalise recommendations.</w:t>
            </w:r>
            <w:r>
              <w:rPr>
                <w:rFonts w:ascii="Arial" w:cs="Arial" w:eastAsia="Arial" w:hAnsi="Arial"/>
                <w:color w:val="333333"/>
                <w:sz w:val="20"/>
                <w:szCs w:val="20"/>
              </w:rPr>
              <w:t xml:space="preserve"> Use cross-category purchase data to surface relevant courses based on individual learning history.</w:t>
            </w:r>
          </w:p>
        </w:tc>
      </w:tr>
      <w:tr>
        <w:tc>
          <w:tcPr>
            <w:tcW w:type="dxa" w:w="600"/>
            <w:tcBorders>
              <w:top w:val="single" w:color="EAF3DE" w:sz="4"/>
              <w:left w:val="single" w:color="EAF3DE" w:sz="4"/>
              <w:bottom w:val="single" w:color="EAF3DE" w:sz="4"/>
              <w:right w:val="none" w:color="FFFFFF" w:sz="0"/>
            </w:tcBorders>
            <w:shd w:fill="EAF3DE" w:val="clear"/>
            <w:tcMar>
              <w:top w:type="dxa" w:w="100"/>
              <w:left w:type="dxa" w:w="120"/>
              <w:bottom w:type="dxa" w:w="100"/>
              <w:right w:type="dxa" w:w="80"/>
            </w:tcMar>
            <w:vAlign w:val="center"/>
          </w:tcPr>
          <w:p>
            <w:pPr>
              <w:jc w:val="center"/>
            </w:pPr>
            <w:r>
              <w:rPr>
                <w:rFonts w:ascii="Arial" w:cs="Arial" w:eastAsia="Arial" w:hAnsi="Arial"/>
                <w:b/>
                <w:bCs/>
                <w:color w:val="3B6D11"/>
                <w:sz w:val="24"/>
                <w:szCs w:val="24"/>
              </w:rPr>
              <w:t xml:space="preserve">6</w:t>
            </w:r>
          </w:p>
        </w:tc>
        <w:tc>
          <w:tcPr>
            <w:tcW w:type="dxa" w:w="8760"/>
            <w:tcBorders>
              <w:top w:val="single" w:color="EAF3DE" w:sz="4"/>
              <w:left w:val="none" w:color="FFFFFF" w:sz="0"/>
              <w:bottom w:val="single" w:color="EAF3DE" w:sz="4"/>
              <w:right w:val="single" w:color="EAF3DE" w:sz="4"/>
            </w:tcBorders>
            <w:shd w:fill="FFFFFF" w:val="clear"/>
            <w:tcMar>
              <w:top w:type="dxa" w:w="100"/>
              <w:left w:type="dxa" w:w="160"/>
              <w:bottom w:type="dxa" w:w="100"/>
              <w:right w:type="dxa" w:w="120"/>
            </w:tcMar>
          </w:tcPr>
          <w:p>
            <w:pPr>
              <w:spacing w:after="0" w:before="0"/>
            </w:pPr>
            <w:r>
              <w:rPr>
                <w:rFonts w:ascii="Arial" w:cs="Arial" w:eastAsia="Arial" w:hAnsi="Arial"/>
                <w:b/>
                <w:bCs/>
                <w:color w:val="333333"/>
                <w:sz w:val="20"/>
                <w:szCs w:val="20"/>
              </w:rPr>
              <w:t xml:space="preserve">Establish a reporting cadence.</w:t>
            </w:r>
            <w:r>
              <w:rPr>
                <w:rFonts w:ascii="Arial" w:cs="Arial" w:eastAsia="Arial" w:hAnsi="Arial"/>
                <w:color w:val="333333"/>
                <w:sz w:val="20"/>
                <w:szCs w:val="20"/>
              </w:rPr>
              <w:t xml:space="preserve"> Deploy recurring SQL-driven dashboards tracking active learners, category revenue, and course conversion rates.</w:t>
            </w:r>
          </w:p>
        </w:tc>
      </w:tr>
    </w:tbl>
    <w:p>
      <w:pPr>
        <w:spacing w:after="0" w:before="100"/>
      </w:pPr>
      <w:r>
        <w:t xml:space="preserve"/>
      </w:r>
    </w:p>
    <w:p>
      <w:pPr>
        <w:pBdr>
          <w:bottom w:val="single" w:color="534AB7" w:sz="12" w:space="4"/>
        </w:pBdr>
        <w:spacing w:after="60" w:before="280"/>
      </w:pPr>
      <w:r>
        <w:rPr>
          <w:rFonts w:ascii="Arial" w:cs="Arial" w:eastAsia="Arial" w:hAnsi="Arial"/>
          <w:b/>
          <w:bCs/>
          <w:color w:val="534AB7"/>
          <w:sz w:val="26"/>
          <w:szCs w:val="26"/>
        </w:rPr>
        <w:t xml:space="preserve">Conclusion</w:t>
      </w:r>
    </w:p>
    <w:p>
      <w:pPr>
        <w:spacing w:after="40" w:before="40"/>
      </w:pPr>
      <w:r>
        <w:rPr>
          <w:rFonts w:ascii="Arial" w:cs="Arial" w:eastAsia="Arial" w:hAnsi="Arial"/>
          <w:color w:val="333333"/>
          <w:sz w:val="20"/>
          <w:szCs w:val="20"/>
        </w:rPr>
        <w:t xml:space="preserve">This project demonstrates the application of structured SQL analysis to derive meaningful business intelligence from an online learning platform. By combining robust database design with multi-join querying, aggregation, and behavioural segmentation, the analysis surfaces clear opportunities to improve learner engagement, optimise the course catalogue, and drive platform revenue. The findings are directly actionable and reflect the type of insight-driven decision support that data analysts deliver in real EdTech and SaaS environments.</w:t>
      </w:r>
    </w:p>
    <w:p>
      <w:pPr>
        <w:spacing w:after="0" w:before="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026"/>
      </w:tabs>
    </w:pPr>
    <w:r>
      <w:rPr>
        <w:rFonts w:ascii="Arial" w:cs="Arial" w:eastAsia="Arial" w:hAnsi="Arial"/>
        <w:color w:val="888888"/>
        <w:sz w:val="16"/>
        <w:szCs w:val="16"/>
      </w:rPr>
      <w:t xml:space="preserve">Online Learning Database  |  SQL Analysis Project  |  MySQL Workbench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2026-06-22T08:27:11.472Z</dcterms:created>
  <dcterms:modified xsi:type="dcterms:W3CDTF">2026-06-22T08:27:11.473Z</dcterms:modified>
</cp:coreProperties>
</file>

<file path=docProps/custom.xml><?xml version="1.0" encoding="utf-8"?>
<Properties xmlns="http://schemas.openxmlformats.org/officeDocument/2006/custom-properties" xmlns:vt="http://schemas.openxmlformats.org/officeDocument/2006/docPropsVTypes"/>
</file>