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80"/>
      </w:pPr>
      <w:r>
        <w:rPr>
          <w:b/>
          <w:sz w:val="40"/>
          <w:color w:val="1F3864"/>
        </w:rPr>
        <w:t xml:space="preserve">Cálculo de Métricas de Producto</w:t>
      </w:r>
    </w:p>
    <w:p>
      <w:pPr>
        <w:jc w:val="center"/>
        <w:spacing w:after="240"/>
      </w:pPr>
      <w:r>
        <w:rPr>
          <w:sz w:val="26"/>
          <w:color w:val="595959"/>
        </w:rPr>
        <w:t xml:space="preserve">Sistema de Pre-Sustentaciones UTEQ — Plataforma de desarrollo: Kiro</w:t>
      </w:r>
    </w:p>
    <w:p>
      <w:pPr>
        <w:spacing w:before="120" w:after="80"/>
      </w:pPr>
      <w:r>
        <w:rPr>
          <w:b/>
          <w:sz w:val="28"/>
          <w:color w:val="2E5496"/>
        </w:rPr>
        <w:t xml:space="preserve">1. Introducción</w:t>
      </w:r>
    </w:p>
    <w:p>
      <w:pPr>
        <w:spacing w:after="120"/>
        <w:jc w:val="both"/>
      </w:pPr>
      <w:r>
        <w:rPr>
          <w:sz w:val="22"/>
        </w:rPr>
        <w:t xml:space="preserve">Este documento presenta el cálculo de siete (7) métricas de producto del proyecto "Sistema de Pre-Sustentaciones UTEQ", compuesto por un backend en Spring Boot (Java 17) y un frontend en Angular. Las mediciones se realizaron directamente desde la plataforma de desarrollo Kiro, utilizando su terminal integrada y sus herramientas de análisis de archivos.</w:t>
      </w:r>
    </w:p>
    <w:p>
      <w:pPr>
        <w:spacing w:before="120" w:after="80"/>
      </w:pPr>
      <w:r>
        <w:rPr>
          <w:b/>
          <w:sz w:val="28"/>
          <w:color w:val="2E5496"/>
        </w:rPr>
        <w:t xml:space="preserve">2. ¿Se pueden calcular las métricas desde Kiro o se necesitan herramientas externas?</w:t>
      </w:r>
    </w:p>
    <w:p>
      <w:pPr>
        <w:spacing w:after="120"/>
        <w:jc w:val="both"/>
      </w:pPr>
      <w:r>
        <w:rPr>
          <w:sz w:val="22"/>
        </w:rPr>
        <w:t xml:space="preserve">Kiro no dispone de un panel o módulo dedicado exclusivamente a métricas de producto (no es su propósito; Kiro es un entorno de desarrollo asistido por IA). Sin embargo, SÍ es posible calcular métricas de producto desde Kiro aprovechando su terminal integrada (PowerShell/CMD) y sus capacidades de lectura y búsqueda sobre el código fuente. Todas las métricas de este informe se obtuvieron de esa forma, sin salir del entorno.</w:t>
      </w:r>
    </w:p>
    <w:p>
      <w:pPr>
        <w:spacing w:after="120"/>
        <w:jc w:val="both"/>
      </w:pPr>
      <w:r>
        <w:rPr>
          <w:sz w:val="22"/>
        </w:rPr>
        <w:t xml:space="preserve">Para métricas más avanzadas y precisas (por ejemplo, complejidad ciclomática, deuda técnica, duplicación de código o cobertura), se recomiendan herramientas externas especializadas que se integran con este mismo proyecto: SonarQube / SonarLint, el plugin JaCoCo (cobertura, ya soportado por Maven), Checkstyle y PMD para Java, y ESLint para el frontend Angular. Estas herramientas complementan lo que se calcula manualmente desde Kiro.</w:t>
      </w:r>
    </w:p>
    <w:p>
      <w:pPr>
        <w:spacing w:before="120" w:after="80"/>
      </w:pPr>
      <w:r>
        <w:rPr>
          <w:b/>
          <w:sz w:val="28"/>
          <w:color w:val="2E5496"/>
        </w:rPr>
        <w:t xml:space="preserve">3. Resumen de las métricas obtenidas</w:t>
      </w:r>
    </w:p>
    <w:tbl>
      <w:tblPr>
        <w:tblW w:w="9200" w:type="dxa"/>
        <w:tblBorders>
          <w:top w:val="single" w:sz="4" w:color="8EAADB"/>
          <w:left w:val="single" w:sz="4" w:color="8EAADB"/>
          <w:bottom w:val="single" w:sz="4" w:color="8EAADB"/>
          <w:right w:val="single" w:sz="4" w:color="8EAADB"/>
          <w:insideH w:val="single" w:sz="4" w:color="8EAADB"/>
          <w:insideV w:val="single" w:sz="4" w:color="8EAADB"/>
        </w:tblBorders>
      </w:tblPr>
      <w:tblGrid>
        <w:gridCol w:w="500"/>
        <w:gridCol w:w="2600"/>
        <w:gridCol w:w="3600"/>
        <w:gridCol w:w="2500"/>
      </w:tblGrid>
      <w:tr>
        <w:tc>
          <w:tcPr>
            <w:tcW w:w="500" w:type="dxa"/>
            <w:shd w:val="clear" w:fill="2E5496"/>
          </w:tcPr>
          <w:p>
            <w:r>
              <w:rPr>
                <w:b/>
                <w:color w:val="FFFFFF"/>
              </w:rPr>
              <w:t>#</w:t>
            </w:r>
          </w:p>
        </w:tc>
        <w:tc>
          <w:tcPr>
            <w:tcW w:w="2600" w:type="dxa"/>
            <w:shd w:val="clear" w:fill="2E5496"/>
          </w:tcPr>
          <w:p>
            <w:r>
              <w:rPr>
                <w:b/>
                <w:color w:val="FFFFFF"/>
              </w:rPr>
              <w:t>Métrica</w:t>
            </w:r>
          </w:p>
        </w:tc>
        <w:tc>
          <w:tcPr>
            <w:tcW w:w="3600" w:type="dxa"/>
            <w:shd w:val="clear" w:fill="2E5496"/>
          </w:tcPr>
          <w:p>
            <w:r>
              <w:rPr>
                <w:b/>
                <w:color w:val="FFFFFF"/>
              </w:rPr>
              <w:t>Definición</w:t>
            </w:r>
          </w:p>
        </w:tc>
        <w:tc>
          <w:tcPr>
            <w:tcW w:w="2500" w:type="dxa"/>
            <w:shd w:val="clear" w:fill="2E5496"/>
          </w:tcPr>
          <w:p>
            <w:r>
              <w:rPr>
                <w:b/>
                <w:color w:val="FFFFFF"/>
              </w:rPr>
              <w:t>Valor obtenido</w:t>
            </w:r>
          </w:p>
        </w:tc>
      </w:tr>
      <w:tr>
        <w:tc>
          <w:tcPr>
            <w:tcW w:w="500" w:type="dxa"/>
          </w:tcPr>
          <w:p>
            <w:r>
              <w:t>1</w:t>
            </w:r>
          </w:p>
        </w:tc>
        <w:tc>
          <w:tcPr>
            <w:tcW w:w="2600" w:type="dxa"/>
          </w:tcPr>
          <w:p>
            <w:r>
              <w:rPr>
                <w:b/>
              </w:rPr>
              <w:t>Líneas de código (LOC)</w:t>
            </w:r>
          </w:p>
        </w:tc>
        <w:tc>
          <w:tcPr>
            <w:tcW w:w="3600" w:type="dxa"/>
          </w:tcPr>
          <w:p>
            <w:r>
              <w:t>Tamaño total del producto medido en líneas de código fuente.</w:t>
            </w:r>
          </w:p>
        </w:tc>
        <w:tc>
          <w:tcPr>
            <w:tcW w:w="2500" w:type="dxa"/>
          </w:tcPr>
          <w:p>
            <w:r>
              <w:t xml:space="preserve">23.045 LOC (Java 6.087; TS 4.281; HTML 3.445; CSS 9.232)</w:t>
            </w:r>
          </w:p>
        </w:tc>
      </w:tr>
      <w:tr>
        <w:tc>
          <w:tcPr>
            <w:tcW w:w="500" w:type="dxa"/>
          </w:tcPr>
          <w:p>
            <w:r>
              <w:t>2</w:t>
            </w:r>
          </w:p>
        </w:tc>
        <w:tc>
          <w:tcPr>
            <w:tcW w:w="2600" w:type="dxa"/>
          </w:tcPr>
          <w:p>
            <w:r>
              <w:rPr>
                <w:b/>
              </w:rPr>
              <w:t>Número de archivos de código</w:t>
            </w:r>
          </w:p>
        </w:tc>
        <w:tc>
          <w:tcPr>
            <w:tcW w:w="3600" w:type="dxa"/>
          </w:tcPr>
          <w:p>
            <w:r>
              <w:t>Cantidad total de archivos fuente del proyecto.</w:t>
            </w:r>
          </w:p>
        </w:tc>
        <w:tc>
          <w:tcPr>
            <w:tcW w:w="2500" w:type="dxa"/>
          </w:tcPr>
          <w:p>
            <w:r>
              <w:t xml:space="preserve">219 archivos (Java 116; TS 51; HTML 26; CSS 26)</w:t>
            </w:r>
          </w:p>
        </w:tc>
      </w:tr>
      <w:tr>
        <w:tc>
          <w:tcPr>
            <w:tcW w:w="500" w:type="dxa"/>
          </w:tcPr>
          <w:p>
            <w:r>
              <w:t>3</w:t>
            </w:r>
          </w:p>
        </w:tc>
        <w:tc>
          <w:tcPr>
            <w:tcW w:w="2600" w:type="dxa"/>
          </w:tcPr>
          <w:p>
            <w:r>
              <w:rPr>
                <w:b/>
              </w:rPr>
              <w:t>Clases y componentes</w:t>
            </w:r>
          </w:p>
        </w:tc>
        <w:tc>
          <w:tcPr>
            <w:tcW w:w="3600" w:type="dxa"/>
          </w:tcPr>
          <w:p>
            <w:r>
              <w:t>Unidades estructurales del sistema (clases/interfaces/enums y componentes/servicios).</w:t>
            </w:r>
          </w:p>
        </w:tc>
        <w:tc>
          <w:tcPr>
            <w:tcW w:w="2500" w:type="dxa"/>
          </w:tcPr>
          <w:p>
            <w:r>
              <w:t xml:space="preserve">Backend: 121 | Frontend: 25 componentes + 19 servicios</w:t>
            </w:r>
          </w:p>
        </w:tc>
      </w:tr>
      <w:tr>
        <w:tc>
          <w:tcPr>
            <w:tcW w:w="500" w:type="dxa"/>
          </w:tcPr>
          <w:p>
            <w:r>
              <w:t>4</w:t>
            </w:r>
          </w:p>
        </w:tc>
        <w:tc>
          <w:tcPr>
            <w:tcW w:w="2600" w:type="dxa"/>
          </w:tcPr>
          <w:p>
            <w:r>
              <w:rPr>
                <w:b/>
              </w:rPr>
              <w:t>Número de métodos</w:t>
            </w:r>
          </w:p>
        </w:tc>
        <w:tc>
          <w:tcPr>
            <w:tcW w:w="3600" w:type="dxa"/>
          </w:tcPr>
          <w:p>
            <w:r>
              <w:t>Cantidad aproximada de métodos declarados en el backend.</w:t>
            </w:r>
          </w:p>
        </w:tc>
        <w:tc>
          <w:tcPr>
            <w:tcW w:w="2500" w:type="dxa"/>
          </w:tcPr>
          <w:p>
            <w:r>
              <w:t xml:space="preserve">291 métodos (backend)</w:t>
            </w:r>
          </w:p>
        </w:tc>
      </w:tr>
      <w:tr>
        <w:tc>
          <w:tcPr>
            <w:tcW w:w="500" w:type="dxa"/>
          </w:tcPr>
          <w:p>
            <w:r>
              <w:t>5</w:t>
            </w:r>
          </w:p>
        </w:tc>
        <w:tc>
          <w:tcPr>
            <w:tcW w:w="2600" w:type="dxa"/>
          </w:tcPr>
          <w:p>
            <w:r>
              <w:rPr>
                <w:b/>
              </w:rPr>
              <w:t>Endpoints REST (tamaño funcional)</w:t>
            </w:r>
          </w:p>
        </w:tc>
        <w:tc>
          <w:tcPr>
            <w:tcW w:w="3600" w:type="dxa"/>
          </w:tcPr>
          <w:p>
            <w:r>
              <w:t>Número de servicios expuestos por el API (@GetMapping, @PostMapping, etc.).</w:t>
            </w:r>
          </w:p>
        </w:tc>
        <w:tc>
          <w:tcPr>
            <w:tcW w:w="2500" w:type="dxa"/>
          </w:tcPr>
          <w:p>
            <w:r>
              <w:t xml:space="preserve">117 endpoints REST</w:t>
            </w:r>
          </w:p>
        </w:tc>
      </w:tr>
      <w:tr>
        <w:tc>
          <w:tcPr>
            <w:tcW w:w="500" w:type="dxa"/>
          </w:tcPr>
          <w:p>
            <w:r>
              <w:t>6</w:t>
            </w:r>
          </w:p>
        </w:tc>
        <w:tc>
          <w:tcPr>
            <w:tcW w:w="2600" w:type="dxa"/>
          </w:tcPr>
          <w:p>
            <w:r>
              <w:rPr>
                <w:b/>
              </w:rPr>
              <w:t>Densidad de comentarios</w:t>
            </w:r>
          </w:p>
        </w:tc>
        <w:tc>
          <w:tcPr>
            <w:tcW w:w="3600" w:type="dxa"/>
          </w:tcPr>
          <w:p>
            <w:r>
              <w:t>Porcentaje de líneas de comentario respecto al total de LOC del backend.</w:t>
            </w:r>
          </w:p>
        </w:tc>
        <w:tc>
          <w:tcPr>
            <w:tcW w:w="2500" w:type="dxa"/>
          </w:tcPr>
          <w:p>
            <w:r>
              <w:t xml:space="preserve">4,27% (260 / 6.087 LOC)</w:t>
            </w:r>
          </w:p>
        </w:tc>
      </w:tr>
      <w:tr>
        <w:tc>
          <w:tcPr>
            <w:tcW w:w="500" w:type="dxa"/>
          </w:tcPr>
          <w:p>
            <w:r>
              <w:t>7</w:t>
            </w:r>
          </w:p>
        </w:tc>
        <w:tc>
          <w:tcPr>
            <w:tcW w:w="2600" w:type="dxa"/>
          </w:tcPr>
          <w:p>
            <w:r>
              <w:rPr>
                <w:b/>
              </w:rPr>
              <w:t>Tamaño promedio por archivo</w:t>
            </w:r>
          </w:p>
        </w:tc>
        <w:tc>
          <w:tcPr>
            <w:tcW w:w="3600" w:type="dxa"/>
          </w:tcPr>
          <w:p>
            <w:r>
              <w:t>Promedio de líneas de código por archivo en el backend (indicador de mantenibilidad).</w:t>
            </w:r>
          </w:p>
        </w:tc>
        <w:tc>
          <w:tcPr>
            <w:tcW w:w="2500" w:type="dxa"/>
          </w:tcPr>
          <w:p>
            <w:r>
              <w:t xml:space="preserve">52,47 LOC/archivo</w:t>
            </w:r>
          </w:p>
        </w:tc>
      </w:tr>
    </w:tbl>
    <w:p>
      <w:pPr>
        <w:spacing w:after="120"/>
      </w:pPr>
      <w:r>
        <w:rPr>
          <w:i/>
          <w:sz w:val="18"/>
          <w:color w:val="595959"/>
        </w:rPr>
        <w:t xml:space="preserve">Nota: el frontend excluye node_modules, dist y .angular. El conteo de métodos y comentarios es una aproximación por patrones de texto.</w:t>
      </w:r>
    </w:p>
    <w:p>
      <w:pPr>
        <w:spacing w:before="200" w:after="80"/>
      </w:pPr>
      <w:r>
        <w:rPr>
          <w:b/>
          <w:sz w:val="28"/>
          <w:color w:val="2E5496"/>
        </w:rPr>
        <w:t xml:space="preserve">4. Proceso de cálculo desde Kiro (con capturas)</w:t>
      </w:r>
    </w:p>
    <w:p>
      <w:pPr>
        <w:spacing w:after="120"/>
        <w:jc w:val="both"/>
      </w:pPr>
      <w:r>
        <w:rPr>
          <w:sz w:val="22"/>
        </w:rPr>
        <w:t xml:space="preserve">Las métricas se calcularon ejecutando comandos de análisis en la terminal integrada de Kiro. A continuación se muestra cada comando y el espacio para la captura de pantalla correspondiente (proceso y resultado).</w:t>
      </w:r>
    </w:p>
    <w:p>
      <w:pPr>
        <w:spacing w:before="120" w:after="60"/>
      </w:pPr>
      <w:r>
        <w:rPr>
          <w:b/>
          <w:sz w:val="24"/>
          <w:color w:val="1F3864"/>
        </w:rPr>
        <w:t xml:space="preserve">Paso 1 — Tamaño del backend (archivos, LOC y promedio)</w:t>
      </w:r>
    </w:p>
    <w:p>
      <w:pPr>
        <w:shd w:val="clear" w:fill="F2F2F2"/>
        <w:spacing w:after="80"/>
      </w:pPr>
      <w:r>
        <w:rPr>
          <w:rFonts w:ascii="Consolas" w:hAnsi="Consolas"/>
          <w:sz w:val="18"/>
        </w:rPr>
        <w:t xml:space="preserve">$java = Get-ChildItem -Path 'Backendpresus\backend\backend-mod\src\main\java' -Recurse -Filter *.java; $n=$java.Count; $loc=($java | Get-Content | Measure-Object -Line).Lines</w:t>
      </w:r>
    </w:p>
    <w:p>
      <w:pPr>
        <w:pBdr>
          <w:top w:val="single" w:sz="6" w:color="A6A6A6"/>
          <w:left w:val="single" w:sz="6" w:color="A6A6A6"/>
          <w:bottom w:val="single" w:sz="6" w:color="A6A6A6"/>
          <w:right w:val="single" w:sz="6" w:color="A6A6A6"/>
        </w:pBdr>
        <w:shd w:val="clear" w:fill="FAFAFA"/>
        <w:jc w:val="center"/>
        <w:spacing w:before="1400" w:after="1400"/>
      </w:pPr>
      <w:r>
        <w:rPr>
          <w:b/>
          <w:color w:val="808080"/>
        </w:rPr>
        <w:t xml:space="preserve">[ ESPACIO PARA CAPTURA DE PANTALLA — Paso 1 ]</w:t>
      </w:r>
    </w:p>
    <w:p>
      <w:pPr>
        <w:spacing w:before="120" w:after="60"/>
      </w:pPr>
      <w:r>
        <w:rPr>
          <w:b/>
          <w:sz w:val="24"/>
          <w:color w:val="1F3864"/>
        </w:rPr>
        <w:t xml:space="preserve">Paso 2 — Endpoints REST, clases, métodos y comentarios (backend)</w:t>
      </w:r>
    </w:p>
    <w:p>
      <w:pPr>
        <w:shd w:val="clear" w:fill="F2F2F2"/>
        <w:spacing w:after="80"/>
      </w:pPr>
      <w:r>
        <w:rPr>
          <w:rFonts w:ascii="Consolas" w:hAnsi="Consolas"/>
          <w:sz w:val="18"/>
        </w:rPr>
        <w:t xml:space="preserve">Select-String -Pattern '@(Get|Post|Put|Delete|Patch)Mapping' ; '\b(class|interface|enum)\s+\w+' ; comentarios '^\s*(//|\*|/\*)'</w:t>
      </w:r>
    </w:p>
    <w:p>
      <w:pPr>
        <w:pBdr>
          <w:top w:val="single" w:sz="6" w:color="A6A6A6"/>
          <w:left w:val="single" w:sz="6" w:color="A6A6A6"/>
          <w:bottom w:val="single" w:sz="6" w:color="A6A6A6"/>
          <w:right w:val="single" w:sz="6" w:color="A6A6A6"/>
        </w:pBdr>
        <w:shd w:val="clear" w:fill="FAFAFA"/>
        <w:jc w:val="center"/>
        <w:spacing w:before="1400" w:after="1400"/>
      </w:pPr>
      <w:r>
        <w:rPr>
          <w:b/>
          <w:color w:val="808080"/>
        </w:rPr>
        <w:t xml:space="preserve">[ ESPACIO PARA CAPTURA DE PANTALLA — Paso 2 ]</w:t>
      </w:r>
    </w:p>
    <w:p>
      <w:pPr>
        <w:spacing w:before="120" w:after="60"/>
      </w:pPr>
      <w:r>
        <w:rPr>
          <w:b/>
          <w:sz w:val="24"/>
          <w:color w:val="1F3864"/>
        </w:rPr>
        <w:t xml:space="preserve">Paso 3 — Métricas del frontend (Angular: TS, HTML, CSS, componentes y servicios)</w:t>
      </w:r>
    </w:p>
    <w:p>
      <w:pPr>
        <w:shd w:val="clear" w:fill="F2F2F2"/>
        <w:spacing w:after="80"/>
      </w:pPr>
      <w:r>
        <w:rPr>
          <w:rFonts w:ascii="Consolas" w:hAnsi="Consolas"/>
          <w:sz w:val="18"/>
        </w:rPr>
        <w:t xml:space="preserve">Get-ChildItem -Path 'frontendpresus\src' -Recurse -Include *.ts,*.html,*.css ; @Component ; @Injectable</w:t>
      </w:r>
    </w:p>
    <w:p>
      <w:pPr>
        <w:pBdr>
          <w:top w:val="single" w:sz="6" w:color="A6A6A6"/>
          <w:left w:val="single" w:sz="6" w:color="A6A6A6"/>
          <w:bottom w:val="single" w:sz="6" w:color="A6A6A6"/>
          <w:right w:val="single" w:sz="6" w:color="A6A6A6"/>
        </w:pBdr>
        <w:shd w:val="clear" w:fill="FAFAFA"/>
        <w:jc w:val="center"/>
        <w:spacing w:before="1400" w:after="1400"/>
      </w:pPr>
      <w:r>
        <w:rPr>
          <w:b/>
          <w:color w:val="808080"/>
        </w:rPr>
        <w:t xml:space="preserve">[ ESPACIO PARA CAPTURA DE PANTALLA — Paso 3 ]</w:t>
      </w:r>
    </w:p>
    <w:p>
      <w:pPr>
        <w:spacing w:before="200" w:after="80"/>
      </w:pPr>
      <w:r>
        <w:rPr>
          <w:b/>
          <w:sz w:val="28"/>
          <w:color w:val="2E5496"/>
        </w:rPr>
        <w:t xml:space="preserve">5. Conclusión</w:t>
      </w:r>
    </w:p>
    <w:p>
      <w:pPr>
        <w:spacing w:after="120"/>
        <w:jc w:val="both"/>
      </w:pPr>
      <w:r>
        <w:rPr>
          <w:sz w:val="22"/>
        </w:rPr>
        <w:t xml:space="preserve">Es posible calcular métricas de producto directamente desde Kiro utilizando su terminal integrada, sin depender de herramientas externas para las mediciones básicas de tamaño y estructura (LOC, archivos, clases, métodos, endpoints, comentarios). El proyecto presenta un tamaño total de 23.045 líneas de código distribuidas en 219 archivos, con un API de 117 endpoints REST. Para análisis de calidad más profundos (complejidad ciclomática, duplicación, cobertura o deuda técnica) se recomienda complementar con herramientas externas como SonarQube, JaCoCo, Checkstyle/PMD y ESLint.</w:t>
      </w:r>
    </w:p>
    <w:sectPr>
      <w:pgSz w:w="12240" w:h="15840"/>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