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ulo"/>
      </w:pPr>
      <w:r>
        <w:t>Plan de Recolección de Datos</w:t>
      </w:r>
    </w:p>
    <w:p>
      <w:pPr>
        <w:pStyle w:val="Subtitulo"/>
      </w:pPr>
      <w:r>
        <w:t>Sistema de Gestión de Pre-Sustentaciones — Universidad Técnica Estatal de Quevedo (UTEQ)</w:t>
      </w:r>
    </w:p>
    <w:p>
      <w:pPr>
        <w:jc w:val="center"/>
        <w:spacing w:after="200"/>
      </w:pPr>
      <w:r>
        <w:rPr>
          <w:i/>
          <w:color w:val="595959"/>
          <w:sz w:val="18"/>
        </w:rPr>
        <w:t>Backend: Spring Boot 3.2.1 / Java 17  •  Frontend: Angular 21  •  BD: PostgreSQL  •  Versión 1.0 — 2026</w:t>
      </w:r>
    </w:p>
    <w:p>
      <w:pPr>
        <w:pStyle w:val="Heading1"/>
      </w:pPr>
      <w:r>
        <w:t>1. Objetivos de Medición</w:t>
      </w:r>
    </w:p>
    <w:p>
      <w:r>
        <w:t>El presente plan define, bajo el enfoque Goal-Question-Metric (GQM) e ISO/IEC 25010, la estrategia de recolección de datos cuantitativos del proyecto con el fin de gestionar la calidad del producto y del proceso de desarrollo. Los objetivos son:</w:t>
      </w:r>
    </w:p>
    <w:p>
      <w:pPr>
        <w:ind w:left="360"/>
        <w:spacing w:after="40"/>
      </w:pPr>
      <w:r>
        <w:rPr>
          <w:b/>
        </w:rPr>
        <w:t>O1. </w:t>
      </w:r>
      <w:r>
        <w:t>Cuantificar el tamaño y la evolución del producto de software (LOC, artefactos y funcionalidad expuesta).</w:t>
      </w:r>
    </w:p>
    <w:p>
      <w:pPr>
        <w:ind w:left="360"/>
        <w:spacing w:after="40"/>
      </w:pPr>
      <w:r>
        <w:rPr>
          <w:b/>
        </w:rPr>
        <w:t>O2. </w:t>
      </w:r>
      <w:r>
        <w:t>Evaluar la mantenibilidad y legibilidad interna del código fuente (complejidad y documentación).</w:t>
      </w:r>
    </w:p>
    <w:p>
      <w:pPr>
        <w:ind w:left="360"/>
        <w:spacing w:after="40"/>
      </w:pPr>
      <w:r>
        <w:rPr>
          <w:b/>
        </w:rPr>
        <w:t>O3. </w:t>
      </w:r>
      <w:r>
        <w:t>Controlar la fiabilidad del producto mediante el seguimiento de defectos y la cobertura de pruebas.</w:t>
      </w:r>
    </w:p>
    <w:p>
      <w:pPr>
        <w:ind w:left="360"/>
        <w:spacing w:after="120"/>
      </w:pPr>
      <w:r>
        <w:rPr>
          <w:b/>
        </w:rPr>
        <w:t>O4. </w:t>
      </w:r>
      <w:r>
        <w:t>Monitorear el avance funcional respecto a los requisitos comprometidos por iteración.</w:t>
      </w:r>
    </w:p>
    <w:p>
      <w:pPr>
        <w:pStyle w:val="Heading1"/>
      </w:pPr>
      <w:r>
        <w:t>2. Métricas Seleccionadas, Fórmulas y Línea de Referencia</w:t>
      </w:r>
    </w:p>
    <w:p>
      <w:pPr>
        <w:spacing w:after="60"/>
      </w:pPr>
      <w:r>
        <w:t>Las líneas de referencia (baseline) se establecieron con la medición inicial ejecutada sobre el repositorio actual mediante el script </w:t>
      </w:r>
      <w:r>
        <w:rPr>
          <w:rFonts w:ascii="Consolas" w:hAnsi="Consolas"/>
          <w:sz w:val="18"/>
        </w:rPr>
        <w:t>metricas.ps1</w:t>
      </w:r>
      <w:r>
        <w:t>.</w:t>
      </w:r>
    </w:p>
    <w:tbl>
      <w:tblPr>
        <w:tblStyle w:val="TablaMetricas"/>
        <w:tblW w:w="907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</w:tblPr>
      <w:tblGrid>
        <w:gridCol w:w="2260"/>
        <w:gridCol w:w="4150"/>
        <w:gridCol w:w="2660"/>
      </w:tblGrid>
      <w:tr>
        <w:trPr>
          <w:tblHeader/>
        </w:trPr>
        <w:tc>
          <w:tcPr>
            <w:shd w:val="clear" w:color="auto" w:fill="1F3864"/>
            <w:vAlign w:val="center"/>
          </w:tcPr>
          <w:p>
            <w:pPr>
              <w:jc w:val="left"/>
              <w:spacing w:after="0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shd w:val="clear" w:color="auto" w:fill="1F3864"/>
            <w:vAlign w:val="center"/>
          </w:tcPr>
          <w:p>
            <w:pPr>
              <w:jc w:val="left"/>
              <w:spacing w:after="0"/>
            </w:pPr>
            <w:r>
              <w:rPr>
                <w:b/>
                <w:color w:val="FFFFFF"/>
                <w:sz w:val="18"/>
              </w:rPr>
              <w:t>Fórmula algebraica</w:t>
            </w:r>
          </w:p>
        </w:tc>
        <w:tc>
          <w:tcPr>
            <w:shd w:val="clear" w:color="auto" w:fill="1F3864"/>
            <w:vAlign w:val="center"/>
          </w:tcPr>
          <w:p>
            <w:pPr>
              <w:jc w:val="left"/>
              <w:spacing w:after="0"/>
            </w:pPr>
            <w:r>
              <w:rPr>
                <w:b/>
                <w:color w:val="FFFFFF"/>
                <w:sz w:val="18"/>
              </w:rPr>
              <w:t>Línea de referencia / Objetivo</w:t>
            </w:r>
          </w:p>
        </w:tc>
      </w:tr>
      <w:tr>
        <w:tc>
          <w:tcPr>
            <w:shd w:val="clear" w:color="auto" w:fill="EAF1FB"/>
          </w:tcPr>
          <w:p>
            <w:pPr>
              <w:jc w:val="left"/>
              <w:spacing w:after="0"/>
            </w:pPr>
            <w:r>
              <w:rPr>
                <w:b/>
                <w:sz w:val="18"/>
              </w:rPr>
              <w:t>M1. Tamaño del producto (LOC)</w:t>
            </w:r>
          </w:p>
        </w:tc>
        <w:tc>
          <w:p>
            <w:pPr>
              <w:jc w:val="left"/>
              <w:spacing w:after="0"/>
            </w:pPr>
            <w:r>
              <w:rPr>
                <w:i/>
                <w:sz w:val="18"/>
              </w:rPr>
              <w:t>LOC = ∑ locₕ</w:t>
            </w:r>
            <w:r>
              <w:rPr>
                <w:sz w:val="18"/>
              </w:rPr>
              <w:t>,  para i = 1 … n archivos fuente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Base: 23.045 LOC (Java 6.087, TS 4.281, HTML 3.445, CSS 9.232)</w:t>
            </w:r>
          </w:p>
        </w:tc>
      </w:tr>
      <w:tr>
        <w:tc>
          <w:tcPr>
            <w:shd w:val="clear" w:color="auto" w:fill="EAF1FB"/>
          </w:tcPr>
          <w:p>
            <w:pPr>
              <w:jc w:val="left"/>
              <w:spacing w:after="0"/>
            </w:pPr>
            <w:r>
              <w:rPr>
                <w:b/>
                <w:sz w:val="18"/>
              </w:rPr>
              <w:t>M2. Densidad de comentarios</w:t>
            </w:r>
          </w:p>
        </w:tc>
        <w:tc>
          <w:p>
            <w:pPr>
              <w:jc w:val="left"/>
              <w:spacing w:after="0"/>
            </w:pPr>
            <w:r>
              <w:rPr>
                <w:i/>
                <w:sz w:val="18"/>
              </w:rPr>
              <w:t>DC = (C / LOCₓₓₔₕₖₐ) × 100</w:t>
            </w:r>
            <w:r>
              <w:rPr>
                <w:sz w:val="18"/>
              </w:rPr>
              <w:t>;  C = líneas de comentario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Base: 4,27 %.  Objetivo: 10 % ≤ DC ≤ 25 %</w:t>
            </w:r>
          </w:p>
        </w:tc>
      </w:tr>
      <w:tr>
        <w:tc>
          <w:tcPr>
            <w:shd w:val="clear" w:color="auto" w:fill="EAF1FB"/>
          </w:tcPr>
          <w:p>
            <w:pPr>
              <w:jc w:val="left"/>
              <w:spacing w:after="0"/>
            </w:pPr>
            <w:r>
              <w:rPr>
                <w:b/>
                <w:sz w:val="18"/>
              </w:rPr>
              <w:t>M3. Complejidad ciclomática</w:t>
            </w:r>
          </w:p>
        </w:tc>
        <w:tc>
          <w:p>
            <w:pPr>
              <w:jc w:val="left"/>
              <w:spacing w:after="0"/>
            </w:pPr>
            <w:r>
              <w:rPr>
                <w:i/>
                <w:sz w:val="18"/>
              </w:rPr>
              <w:t>v(G) = E − N + 2P</w:t>
            </w:r>
            <w:r>
              <w:rPr>
                <w:sz w:val="18"/>
              </w:rPr>
              <w:t>;  E aristas, N nodos, P componentes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Objetivo: v(G) ≤ 10 por método (291 métodos base)</w:t>
            </w:r>
          </w:p>
        </w:tc>
      </w:tr>
      <w:tr>
        <w:tc>
          <w:tcPr>
            <w:shd w:val="clear" w:color="auto" w:fill="EAF1FB"/>
          </w:tcPr>
          <w:p>
            <w:pPr>
              <w:jc w:val="left"/>
              <w:spacing w:after="0"/>
            </w:pPr>
            <w:r>
              <w:rPr>
                <w:b/>
                <w:sz w:val="18"/>
              </w:rPr>
              <w:t>M4. Densidad de defectos</w:t>
            </w:r>
          </w:p>
        </w:tc>
        <w:tc>
          <w:p>
            <w:pPr>
              <w:jc w:val="left"/>
              <w:spacing w:after="0"/>
            </w:pPr>
            <w:r>
              <w:rPr>
                <w:i/>
                <w:sz w:val="18"/>
              </w:rPr>
              <w:t>DD = D / (LOC / 1000)</w:t>
            </w:r>
            <w:r>
              <w:rPr>
                <w:sz w:val="18"/>
              </w:rPr>
              <w:t>;  D = defectos detectados (KLOC)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Objetivo: DD ≤ 1,0 defecto / KLOC</w:t>
            </w:r>
          </w:p>
        </w:tc>
      </w:tr>
      <w:tr>
        <w:tc>
          <w:tcPr>
            <w:shd w:val="clear" w:color="auto" w:fill="EAF1FB"/>
          </w:tcPr>
          <w:p>
            <w:pPr>
              <w:jc w:val="left"/>
              <w:spacing w:after="0"/>
            </w:pPr>
            <w:r>
              <w:rPr>
                <w:b/>
                <w:sz w:val="18"/>
              </w:rPr>
              <w:t>M5. Cobertura de pruebas</w:t>
            </w:r>
          </w:p>
        </w:tc>
        <w:tc>
          <w:p>
            <w:pPr>
              <w:jc w:val="left"/>
              <w:spacing w:after="0"/>
            </w:pPr>
            <w:r>
              <w:rPr>
                <w:i/>
                <w:sz w:val="18"/>
              </w:rPr>
              <w:t>Cob = (LOCₑₕₖₜₓₔₐₛₐₛ / LOCₜₔₜₐₓ) × 100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Base: por establecer.  Objetivo: Cob ≥ 70 %</w:t>
            </w:r>
          </w:p>
        </w:tc>
      </w:tr>
      <w:tr>
        <w:tc>
          <w:tcPr>
            <w:shd w:val="clear" w:color="auto" w:fill="EAF1FB"/>
          </w:tcPr>
          <w:p>
            <w:pPr>
              <w:jc w:val="left"/>
              <w:spacing w:after="0"/>
            </w:pPr>
            <w:r>
              <w:rPr>
                <w:b/>
                <w:sz w:val="18"/>
              </w:rPr>
              <w:t>M6. Avance funcional</w:t>
            </w:r>
          </w:p>
        </w:tc>
        <w:tc>
          <w:p>
            <w:pPr>
              <w:jc w:val="left"/>
              <w:spacing w:after="0"/>
            </w:pPr>
            <w:r>
              <w:rPr>
                <w:i/>
                <w:sz w:val="18"/>
              </w:rPr>
              <w:t>AF = (RFₐ₋ₔ / RFₜₔₜₐₓ) × 100</w:t>
            </w:r>
            <w:r>
              <w:rPr>
                <w:sz w:val="18"/>
              </w:rPr>
              <w:t>;  RF = requisitos funcionales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Base: 117 endpoints / 121 clases.  Objetivo: 100 % del alcance</w:t>
            </w:r>
          </w:p>
        </w:tc>
      </w:tr>
    </w:tbl>
    <w:p>
      <w:pPr>
        <w:pStyle w:val="Heading1"/>
      </w:pPr>
      <w:r>
        <w:t>3. Procedimientos de Captura</w:t>
      </w:r>
    </w:p>
    <w:p>
      <w:pPr>
        <w:ind w:left="360"/>
        <w:spacing w:after="40"/>
      </w:pPr>
      <w:r>
        <w:rPr>
          <w:b/>
        </w:rPr>
        <w:t>a) Métricas de código (M1–M3): </w:t>
      </w:r>
      <w:r>
        <w:t>se extraen automáticamente del repositorio Git en cada </w:t>
      </w:r>
      <w:r>
        <w:rPr>
          <w:i/>
        </w:rPr>
        <w:t>commit</w:t>
      </w:r>
      <w:r>
        <w:t> a la rama principal. El script </w:t>
      </w:r>
      <w:r>
        <w:rPr>
          <w:rFonts w:ascii="Consolas" w:hAnsi="Consolas"/>
          <w:sz w:val="18"/>
        </w:rPr>
        <w:t>metricas.ps1</w:t>
      </w:r>
      <w:r>
        <w:t> recorre las carpetas fuente, cuenta LOC y densidad de comentarios; SonarQube complementa la complejidad ciclomática.</w:t>
      </w:r>
    </w:p>
    <w:p>
      <w:pPr>
        <w:ind w:left="360"/>
        <w:spacing w:after="40"/>
      </w:pPr>
      <w:r>
        <w:rPr>
          <w:b/>
        </w:rPr>
        <w:t>b) Defectos (M4): </w:t>
      </w:r>
      <w:r>
        <w:t>cada incidencia se registra como </w:t>
      </w:r>
      <w:r>
        <w:rPr>
          <w:i/>
        </w:rPr>
        <w:t>issue</w:t>
      </w:r>
      <w:r>
        <w:t> en el gestor de tareas con severidad, módulo afectado y fecha; el conteo se normaliza por KLOC al cierre de cada iteración.</w:t>
      </w:r>
    </w:p>
    <w:p>
      <w:pPr>
        <w:ind w:left="360"/>
        <w:spacing w:after="40"/>
      </w:pPr>
      <w:r>
        <w:rPr>
          <w:b/>
        </w:rPr>
        <w:t>c) Cobertura (M5): </w:t>
      </w:r>
      <w:r>
        <w:t>se genera en la fase de pruebas mediante JaCoCo (backend) y Karma/Istanbul (frontend), integrados en la canalización de CI.</w:t>
      </w:r>
    </w:p>
    <w:p>
      <w:pPr>
        <w:ind w:left="360"/>
        <w:spacing w:after="120"/>
      </w:pPr>
      <w:r>
        <w:rPr>
          <w:b/>
        </w:rPr>
        <w:t>d) Avance funcional (M6): </w:t>
      </w:r>
      <w:r>
        <w:t>se contrasta la matriz de requisitos con los endpoints REST y componentes implementados, verificados sobre Swagger UI.</w:t>
      </w:r>
    </w:p>
    <w:p>
      <w:pPr>
        <w:pStyle w:val="Heading1"/>
      </w:pPr>
      <w:r>
        <w:t>4. Herramientas Utilizadas</w:t>
      </w:r>
    </w:p>
    <w:p>
      <w:pPr>
        <w:spacing w:after="120"/>
      </w:pPr>
      <w:r>
        <w:rPr>
          <w:b/>
        </w:rPr>
        <w:t>Git</w:t>
      </w:r>
      <w:r>
        <w:t> (control de versiones y trazabilidad de cambios); </w:t>
      </w:r>
      <w:r>
        <w:rPr>
          <w:b/>
        </w:rPr>
        <w:t>PowerShell 7</w:t>
      </w:r>
      <w:r>
        <w:t> con el script </w:t>
      </w:r>
      <w:r>
        <w:rPr>
          <w:rFonts w:ascii="Consolas" w:hAnsi="Consolas"/>
          <w:sz w:val="18"/>
        </w:rPr>
        <w:t>metricas.ps1</w:t>
      </w:r>
      <w:r>
        <w:t> (conteo de tamaño y documentación); </w:t>
      </w:r>
      <w:r>
        <w:rPr>
          <w:b/>
        </w:rPr>
        <w:t>SonarQube / SonarLint</w:t>
      </w:r>
      <w:r>
        <w:t> (complejidad, duplicación y deuda técnica); </w:t>
      </w:r>
      <w:r>
        <w:rPr>
          <w:b/>
        </w:rPr>
        <w:t>JaCoCo</w:t>
      </w:r>
      <w:r>
        <w:t> y </w:t>
      </w:r>
      <w:r>
        <w:rPr>
          <w:b/>
        </w:rPr>
        <w:t>Karma/Istanbul</w:t>
      </w:r>
      <w:r>
        <w:t> (cobertura de pruebas); </w:t>
      </w:r>
      <w:r>
        <w:rPr>
          <w:b/>
        </w:rPr>
        <w:t>Maven</w:t>
      </w:r>
      <w:r>
        <w:t> y </w:t>
      </w:r>
      <w:r>
        <w:rPr>
          <w:b/>
        </w:rPr>
        <w:t>Angular CLI</w:t>
      </w:r>
      <w:r>
        <w:t> (compilación y ejecución de pruebas); gestor de </w:t>
      </w:r>
      <w:r>
        <w:rPr>
          <w:i/>
        </w:rPr>
        <w:t>issues</w:t>
      </w:r>
      <w:r>
        <w:t> (seguimiento de defectos) y una hoja de cálculo consolidada para el tablero histórico de indicadores.</w:t>
      </w:r>
    </w:p>
    <w:p>
      <w:pPr>
        <w:pStyle w:val="Heading1"/>
      </w:pPr>
      <w:r>
        <w:t>5. Frecuencia de Registro y Responsables</w:t>
      </w:r>
    </w:p>
    <w:tbl>
      <w:tblPr>
        <w:tblStyle w:val="TablaMetricas"/>
        <w:tblW w:w="907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</w:tblPr>
      <w:tblGrid>
        <w:gridCol w:w="3020"/>
        <w:gridCol w:w="3020"/>
        <w:gridCol w:w="3030"/>
      </w:tblGrid>
      <w:tr>
        <w:trPr>
          <w:tblHeader/>
        </w:trPr>
        <w:tc>
          <w:tcPr>
            <w:shd w:val="clear" w:color="auto" w:fill="1F3864"/>
          </w:tcPr>
          <w:p>
            <w:pPr>
              <w:jc w:val="left"/>
              <w:spacing w:after="0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shd w:val="clear" w:color="auto" w:fill="1F3864"/>
          </w:tcPr>
          <w:p>
            <w:pPr>
              <w:jc w:val="left"/>
              <w:spacing w:after="0"/>
            </w:pPr>
            <w:r>
              <w:rPr>
                <w:b/>
                <w:color w:val="FFFFFF"/>
                <w:sz w:val="18"/>
              </w:rPr>
              <w:t>Frecuencia de registro</w:t>
            </w:r>
          </w:p>
        </w:tc>
        <w:tc>
          <w:tcPr>
            <w:shd w:val="clear" w:color="auto" w:fill="1F3864"/>
          </w:tcPr>
          <w:p>
            <w:pPr>
              <w:jc w:val="left"/>
              <w:spacing w:after="0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p>
            <w:pPr>
              <w:jc w:val="left"/>
              <w:spacing w:after="0"/>
            </w:pPr>
            <w:r>
              <w:rPr>
                <w:sz w:val="18"/>
              </w:rPr>
              <w:t>M1, M2, M3 (código)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En cada commit / build (semanal consolidado)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Desarrolladores / Líder técnico</w:t>
            </w:r>
          </w:p>
        </w:tc>
      </w:tr>
      <w:tr>
        <w:tc>
          <w:p>
            <w:pPr>
              <w:jc w:val="left"/>
              <w:spacing w:after="0"/>
            </w:pPr>
            <w:r>
              <w:rPr>
                <w:sz w:val="18"/>
              </w:rPr>
              <w:t>M4 (defectos)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Continuo; cierre por iteración (quincenal)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Analista de QA</w:t>
            </w:r>
          </w:p>
        </w:tc>
      </w:tr>
      <w:tr>
        <w:tc>
          <w:p>
            <w:pPr>
              <w:jc w:val="left"/>
              <w:spacing w:after="0"/>
            </w:pPr>
            <w:r>
              <w:rPr>
                <w:sz w:val="18"/>
              </w:rPr>
              <w:t>M5 (cobertura)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En cada ejecución de CI (quincenal)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Analista de QA / Desarrolladores</w:t>
            </w:r>
          </w:p>
        </w:tc>
      </w:tr>
      <w:tr>
        <w:tc>
          <w:p>
            <w:pPr>
              <w:jc w:val="left"/>
              <w:spacing w:after="0"/>
            </w:pPr>
            <w:r>
              <w:rPr>
                <w:sz w:val="18"/>
              </w:rPr>
              <w:t>M6 (avance funcional)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Al cierre de cada iteración (quincenal)</w:t>
            </w:r>
          </w:p>
        </w:tc>
        <w:tc>
          <w:p>
            <w:pPr>
              <w:jc w:val="left"/>
              <w:spacing w:after="0"/>
            </w:pPr>
            <w:r>
              <w:rPr>
                <w:sz w:val="18"/>
              </w:rPr>
              <w:t>Líder de proyecto</w:t>
            </w:r>
          </w:p>
        </w:tc>
      </w:tr>
    </w:tbl>
    <w:p>
      <w:pPr>
        <w:spacing w:before="80"/>
      </w:pPr>
      <w:r>
        <w:rPr>
          <w:sz w:val="16"/>
          <w:color w:val="595959"/>
        </w:rPr>
        <w:t>Los datos recolectados se consolidan en un tablero histórico y se revisan en la reunión de cierre de iteración, sirviendo de base para las acciones de mejora continua del producto y del proceso.</w:t>
      </w:r>
    </w:p>
    <w:sectPr>
      <w:pgSz w:w="11906" w:h="16838"/>
      <w:pgMar w:top="1134" w:right="1418" w:bottom="1134" w:left="1418" w:header="708" w:footer="708" w:gutter="0"/>
    </w:sectPr>
  </w:body>
</w:document>
</file>

<file path=word/settings.xml><?xml version="1.0" encoding="utf-8"?>
<w:settings xmlns:w="http://schemas.openxmlformats.org/wordprocessingml/2006/main">
  <w:defaultTabStop w:val="708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es-ES"/>
      </w:rPr>
    </w:rPrDefault>
    <w:pPrDefault>
      <w:pPr>
        <w:spacing w:after="120" w:line="264" w:lineRule="auto"/>
        <w:jc w:val="both"/>
      </w:pPr>
    </w:pPrDefault>
  </w:docDefaults>
  <w:style w:type="paragraph" w:default="1" w:styleId="Normal">
    <w:name w:val="Normal"/>
  </w:style>
  <w:style w:type="paragraph" w:styleId="Titulo">
    <w:name w:val="Title"/>
    <w:pPr>
      <w:spacing w:before="0" w:after="40" w:line="240" w:lineRule="auto"/>
      <w:jc w:val="center"/>
    </w:pPr>
    <w:rPr>
      <w:rFonts w:ascii="Cambria" w:hAnsi="Cambria"/>
      <w:b/>
      <w:color w:val="1F3864"/>
      <w:sz w:val="34"/>
      <w:szCs w:val="34"/>
    </w:rPr>
  </w:style>
  <w:style w:type="paragraph" w:styleId="Subtitulo">
    <w:name w:val="Subtitle"/>
    <w:pPr>
      <w:spacing w:before="0" w:after="200" w:line="240" w:lineRule="auto"/>
      <w:jc w:val="center"/>
    </w:pPr>
    <w:rPr>
      <w:rFonts w:ascii="Calibri" w:hAnsi="Calibri"/>
      <w:color w:val="2E74B5"/>
      <w:sz w:val="22"/>
      <w:szCs w:val="22"/>
    </w:rPr>
  </w:style>
  <w:style w:type="paragraph" w:styleId="Heading1">
    <w:name w:val="heading 1"/>
    <w:basedOn w:val="Normal"/>
    <w:next w:val="Normal"/>
    <w:pPr>
      <w:keepNext/>
      <w:spacing w:before="200" w:after="80" w:line="240" w:lineRule="auto"/>
      <w:jc w:val="left"/>
      <w:pBdr>
        <w:bottom w:val="single" w:sz="6" w:space="2" w:color="2E74B5"/>
      </w:pBdr>
    </w:pPr>
    <w:rPr>
      <w:rFonts w:ascii="Cambria" w:hAnsi="Cambria"/>
      <w:b/>
      <w:color w:val="1F3864"/>
      <w:sz w:val="24"/>
      <w:szCs w:val="24"/>
    </w:rPr>
  </w:style>
  <w:style w:type="table" w:styleId="TablaMetricas">
    <w:name w:val="Tabla Metricas"/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Universidad Técnica Estatal de Quevedo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Recolección de Datos - Sistema de Pre-Sustentaciones UTEQ</dc:title>
  <dc:subject>Medición y Métricas de Software</dc:subject>
  <dc:creator>Equipo de Desarrollo - UTEQ</dc:creator>
  <cp:keywords>métricas, software, medición, calidad</cp:keywords>
  <dcterms:created xsi:type="dcterms:W3CDTF">2026-07-16T00:00:00Z</dcterms:created>
  <dcterms:modified xsi:type="dcterms:W3CDTF">2026-07-16T00:00:00Z</dcterms:modified>
</cp:coreProperties>
</file>