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0EA4" w14:textId="1A9CCE2D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8039FD3" wp14:editId="0C9E5E45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729740" cy="415925"/>
            <wp:effectExtent l="0" t="0" r="3810" b="3175"/>
            <wp:wrapSquare wrapText="bothSides"/>
            <wp:docPr id="168357723" name="Imagen 2" descr="Colegio Capouilli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legio Capouilliez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2CF2">
        <w:rPr>
          <w:rFonts w:ascii="Times New Roman" w:hAnsi="Times New Roman" w:cs="Times New Roman"/>
          <w:sz w:val="22"/>
          <w:szCs w:val="22"/>
        </w:rPr>
        <w:t xml:space="preserve">Colegio </w:t>
      </w:r>
      <w:proofErr w:type="spellStart"/>
      <w:r w:rsidRPr="000F2CF2">
        <w:rPr>
          <w:rFonts w:ascii="Times New Roman" w:hAnsi="Times New Roman" w:cs="Times New Roman"/>
          <w:sz w:val="22"/>
          <w:szCs w:val="22"/>
        </w:rPr>
        <w:t>Capouilliez</w:t>
      </w:r>
      <w:proofErr w:type="spellEnd"/>
    </w:p>
    <w:p w14:paraId="63C07BC6" w14:textId="056487CF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>Laboratorio de Tecnología</w:t>
      </w:r>
    </w:p>
    <w:p w14:paraId="6A593EBB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>Undécimo sección “E”</w:t>
      </w:r>
    </w:p>
    <w:p w14:paraId="7CC88A09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>Prof. Eswin Godoy</w:t>
      </w:r>
    </w:p>
    <w:p w14:paraId="34647002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0C29D692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3C194A59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314611B9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6822B46E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1670D214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0138153F" w14:textId="33568C7E" w:rsidR="00661BAD" w:rsidRPr="008A0FED" w:rsidRDefault="00661BAD" w:rsidP="000F2CF2">
      <w:pPr>
        <w:spacing w:afterLines="120" w:after="288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8A0FED">
        <w:rPr>
          <w:rFonts w:ascii="Times New Roman" w:hAnsi="Times New Roman" w:cs="Times New Roman"/>
          <w:b/>
          <w:bCs/>
          <w:sz w:val="22"/>
          <w:szCs w:val="22"/>
        </w:rPr>
        <w:t>R.U.T.A. – RECURSO DE USO E ILUMINACIÓN TECNO-AUTÓNOMA</w:t>
      </w:r>
    </w:p>
    <w:p w14:paraId="5F93CC67" w14:textId="77777777" w:rsidR="00661BAD" w:rsidRPr="000F2CF2" w:rsidRDefault="00661BAD" w:rsidP="000F2CF2">
      <w:pPr>
        <w:spacing w:afterLines="120" w:after="288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>INTEGRANTES:</w:t>
      </w:r>
    </w:p>
    <w:p w14:paraId="4415864D" w14:textId="77777777" w:rsidR="00661BAD" w:rsidRPr="000F2CF2" w:rsidRDefault="00661BAD" w:rsidP="000F2CF2">
      <w:pPr>
        <w:spacing w:afterLines="120" w:after="288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>José Andrés Maldonado Ventura</w:t>
      </w:r>
    </w:p>
    <w:p w14:paraId="08CE1915" w14:textId="77777777" w:rsidR="00661BAD" w:rsidRPr="000F2CF2" w:rsidRDefault="00661BAD" w:rsidP="000F2CF2">
      <w:pPr>
        <w:spacing w:afterLines="120" w:after="288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>Douglas Alejandro Mínchez Franco</w:t>
      </w:r>
    </w:p>
    <w:p w14:paraId="65A4FDB0" w14:textId="77777777" w:rsidR="00661BAD" w:rsidRPr="000F2CF2" w:rsidRDefault="00661BAD" w:rsidP="000F2CF2">
      <w:pPr>
        <w:spacing w:afterLines="120" w:after="288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>Santiago López Cacacho</w:t>
      </w:r>
    </w:p>
    <w:p w14:paraId="05A53896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2E787855" w14:textId="77777777" w:rsidR="00661BAD" w:rsidRPr="000F2CF2" w:rsidRDefault="00661BAD" w:rsidP="000F2CF2">
      <w:pPr>
        <w:spacing w:afterLines="120" w:after="288" w:line="36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069A44C" w14:textId="5EAD244D" w:rsidR="00CE26F9" w:rsidRPr="000F2CF2" w:rsidRDefault="00661BAD" w:rsidP="000F2CF2">
      <w:pPr>
        <w:spacing w:afterLines="120" w:after="288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>Nueva Guatemala de la Asunción, septiembre del 2026</w:t>
      </w:r>
    </w:p>
    <w:p w14:paraId="3404812E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  <w:sectPr w:rsidR="00661BAD" w:rsidRPr="000F2CF2" w:rsidSect="00E01148">
          <w:footerReference w:type="default" r:id="rId9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</w:p>
    <w:sdt>
      <w:sdtPr>
        <w:rPr>
          <w:rFonts w:ascii="Times New Roman" w:hAnsi="Times New Roman" w:cs="Times New Roman"/>
          <w:sz w:val="22"/>
          <w:szCs w:val="22"/>
          <w:lang w:val="es-MX"/>
        </w:rPr>
        <w:id w:val="-839232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FCAE91" w14:textId="0AFC7348" w:rsidR="00661BAD" w:rsidRPr="000F2CF2" w:rsidRDefault="00661BAD" w:rsidP="000F2CF2">
          <w:pPr>
            <w:spacing w:afterLines="120" w:after="288" w:line="360" w:lineRule="auto"/>
            <w:rPr>
              <w:rFonts w:ascii="Times New Roman" w:hAnsi="Times New Roman" w:cs="Times New Roman"/>
              <w:sz w:val="22"/>
              <w:szCs w:val="22"/>
            </w:rPr>
          </w:pPr>
          <w:r w:rsidRPr="000F2CF2">
            <w:rPr>
              <w:rFonts w:ascii="Times New Roman" w:hAnsi="Times New Roman" w:cs="Times New Roman"/>
              <w:sz w:val="22"/>
              <w:szCs w:val="22"/>
              <w:lang w:val="es-MX"/>
            </w:rPr>
            <w:t>Contenido</w:t>
          </w:r>
        </w:p>
        <w:p w14:paraId="25BCE616" w14:textId="5030E864" w:rsidR="000F19A8" w:rsidRPr="000F19A8" w:rsidRDefault="00661BAD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r w:rsidRPr="000F19A8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0F19A8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0F19A8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239801372" w:history="1">
            <w:r w:rsidR="000F19A8" w:rsidRPr="000F19A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Fundamentos de Sostenibilidad y Descarbonización en Parques de Diversiones (Enfoque IRTRA Petapa)</w:t>
            </w:r>
            <w:r w:rsidR="000F19A8"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F19A8"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F19A8"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_Toc239801372 \h </w:instrText>
            </w:r>
            <w:r w:rsidR="000F19A8" w:rsidRPr="000F19A8">
              <w:rPr>
                <w:rFonts w:ascii="Times New Roman" w:hAnsi="Times New Roman" w:cs="Times New Roman"/>
                <w:noProof/>
                <w:webHidden/>
              </w:rPr>
            </w:r>
            <w:r w:rsidR="000F19A8"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F19A8" w:rsidRPr="000F19A8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0F19A8"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D3A00D" w14:textId="3E071BC9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73" w:history="1">
            <w:r w:rsidRPr="000F19A8">
              <w:rPr>
                <w:rStyle w:val="Hipervnculo"/>
                <w:rFonts w:ascii="Times New Roman" w:hAnsi="Times New Roman" w:cs="Times New Roman"/>
                <w:bCs/>
                <w:noProof/>
              </w:rPr>
              <w:t>1.1 Diagnóstico de emisiones de Gases de Efecto Invernadero (GEI): Alcance 1 y Alcance 2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_Toc239801373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AFE632" w14:textId="74227D50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74" w:history="1">
            <w:r w:rsidRPr="000F19A8">
              <w:rPr>
                <w:rStyle w:val="Hipervnculo"/>
                <w:rFonts w:ascii="Times New Roman" w:hAnsi="Times New Roman" w:cs="Times New Roman"/>
                <w:bCs/>
                <w:noProof/>
              </w:rPr>
              <w:t>1.2 ODS 7: Energía Asequible y No Contaminante en infraestructuras de recreación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_Toc239801374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1ECCFB" w14:textId="0F166779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75" w:history="1">
            <w:r w:rsidRPr="000F19A8">
              <w:rPr>
                <w:rStyle w:val="Hipervnculo"/>
                <w:rFonts w:ascii="Times New Roman" w:hAnsi="Times New Roman" w:cs="Times New Roman"/>
                <w:bCs/>
                <w:noProof/>
              </w:rPr>
              <w:t>1.3 Optimización del consumo energético en períodos de fuera de temporada (Off-Season)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_Toc239801375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AA713B" w14:textId="463D00BA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76" w:history="1">
            <w:r w:rsidRPr="000F19A8">
              <w:rPr>
                <w:rStyle w:val="Hipervnculo"/>
                <w:rFonts w:ascii="Times New Roman" w:hAnsi="Times New Roman" w:cs="Times New Roman"/>
                <w:bCs/>
                <w:noProof/>
              </w:rPr>
              <w:t>1.4 Estrategias de conservación y gestión de recursos hídricos en parques temáticos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_Toc239801376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C6B92D" w14:textId="3328E3FB" w:rsidR="000F19A8" w:rsidRPr="000F19A8" w:rsidRDefault="000F19A8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77" w:history="1">
            <w:r w:rsidRPr="000F19A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Alumbrado Público Eficiente y la Transición hacia Ciudades e Infraestructuras Inteligentes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_Toc239801377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BADDE6" w14:textId="317C10D4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78" w:history="1">
            <w:r w:rsidRPr="000F19A8">
              <w:rPr>
                <w:rStyle w:val="Hipervnculo"/>
                <w:rFonts w:ascii="Times New Roman" w:hAnsi="Times New Roman" w:cs="Times New Roman"/>
                <w:bCs/>
                <w:noProof/>
              </w:rPr>
              <w:t>2.1 Evolución tecnológica del alumbrado público: De descarga a tecnología LED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_Toc239801378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DF7F6B" w14:textId="78F35D0D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79" w:history="1">
            <w:r w:rsidRPr="000F19A8">
              <w:rPr>
                <w:rStyle w:val="Hipervnculo"/>
                <w:rFonts w:ascii="Times New Roman" w:hAnsi="Times New Roman" w:cs="Times New Roman"/>
                <w:bCs/>
                <w:noProof/>
              </w:rPr>
              <w:t>2.2 Integración del Internet de las Cosas (IoT) y telegestión en sistemas de iluminación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_Toc239801379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2814EC" w14:textId="2BD195A9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80" w:history="1">
            <w:r w:rsidRPr="000F19A8">
              <w:rPr>
                <w:rStyle w:val="Hipervnculo"/>
                <w:rFonts w:ascii="Times New Roman" w:hAnsi="Times New Roman" w:cs="Times New Roman"/>
                <w:bCs/>
                <w:noProof/>
              </w:rPr>
              <w:t>2.3 Normativa técnica y certificación de eficiencia energética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_Toc239801380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B76E89" w14:textId="6B37BEC2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81" w:history="1">
            <w:r w:rsidRPr="000F19A8">
              <w:rPr>
                <w:rStyle w:val="Hipervnculo"/>
                <w:rFonts w:ascii="Times New Roman" w:hAnsi="Times New Roman" w:cs="Times New Roman"/>
                <w:bCs/>
                <w:noProof/>
              </w:rPr>
              <w:t>2.4 Modelos de financiamiento y esquemas de contratación (APP y Crédito Tradicional)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_Toc239801381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185E94" w14:textId="4DB5D919" w:rsidR="000F19A8" w:rsidRPr="000F19A8" w:rsidRDefault="000F19A8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82" w:history="1">
            <w:r w:rsidRPr="000F19A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Sistemas de Iluminación Autónomos e Inteligentes Controlados por Microcontroladores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_Toc239801382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F12151" w14:textId="10D27EC8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83" w:history="1">
            <w:r w:rsidRPr="000F19A8">
              <w:rPr>
                <w:rStyle w:val="Hipervnculo"/>
                <w:rFonts w:ascii="Times New Roman" w:hAnsi="Times New Roman" w:cs="Times New Roman"/>
                <w:noProof/>
              </w:rPr>
              <w:t>3.1 Arquitectura de hardware: Microcontroladores, sensores LDR y sensores de movimiento (PIR)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_Toc239801383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97FA30" w14:textId="70AF8E21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84" w:history="1">
            <w:r w:rsidRPr="000F19A8">
              <w:rPr>
                <w:rStyle w:val="Hipervnculo"/>
                <w:rFonts w:ascii="Times New Roman" w:hAnsi="Times New Roman" w:cs="Times New Roman"/>
                <w:noProof/>
              </w:rPr>
              <w:t>3.2 Algoritmos de control y lógica de conmutación eficiente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_Toc239801384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65F482" w14:textId="1F68B19F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85" w:history="1">
            <w:r w:rsidRPr="000F19A8">
              <w:rPr>
                <w:rStyle w:val="Hipervnculo"/>
                <w:rFonts w:ascii="Times New Roman" w:hAnsi="Times New Roman" w:cs="Times New Roman"/>
                <w:noProof/>
              </w:rPr>
              <w:t>3.3 Acondicionamiento térmico y almacenamiento de energía en acumuladores de Litio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_Toc239801385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61D660" w14:textId="6AEDE429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86" w:history="1">
            <w:r w:rsidRPr="000F19A8">
              <w:rPr>
                <w:rStyle w:val="Hipervnculo"/>
                <w:rFonts w:ascii="Times New Roman" w:hAnsi="Times New Roman" w:cs="Times New Roman"/>
                <w:noProof/>
              </w:rPr>
              <w:t>3.4 Modelado matemático para el dimensionamiento fotovoltaico y capacidad de baterías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_Toc239801386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69EEBB" w14:textId="77380CF0" w:rsidR="000F19A8" w:rsidRPr="000F19A8" w:rsidRDefault="000F19A8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87" w:history="1">
            <w:r w:rsidRPr="000F19A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Diseño e Integración de Sistemas de Seguridad Pasiva en Redes IP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_Toc239801387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F824D9" w14:textId="2DC3B3CD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88" w:history="1">
            <w:r w:rsidRPr="000F19A8">
              <w:rPr>
                <w:rStyle w:val="Hipervnculo"/>
                <w:rFonts w:ascii="Times New Roman" w:hAnsi="Times New Roman" w:cs="Times New Roman"/>
                <w:noProof/>
              </w:rPr>
              <w:t>4.1 Subsistema de protección anti-intrusión y grados de seguridad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_Toc239801388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AA530D" w14:textId="67509047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89" w:history="1">
            <w:r w:rsidRPr="000F19A8">
              <w:rPr>
                <w:rStyle w:val="Hipervnculo"/>
                <w:rFonts w:ascii="Times New Roman" w:hAnsi="Times New Roman" w:cs="Times New Roman"/>
                <w:noProof/>
              </w:rPr>
              <w:t>4.2 Subsistema de Circuito Cerrado de Televisión (CCTV) e infraestructura IP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_Toc239801389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40F8BC" w14:textId="7A25567E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90" w:history="1">
            <w:r w:rsidRPr="000F19A8">
              <w:rPr>
                <w:rStyle w:val="Hipervnculo"/>
                <w:rFonts w:ascii="Times New Roman" w:hAnsi="Times New Roman" w:cs="Times New Roman"/>
                <w:noProof/>
              </w:rPr>
              <w:t>4.3 Subsistema de control de accesos y sectorización de áreas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_Toc239801390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930411" w14:textId="50524A4B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91" w:history="1">
            <w:r w:rsidRPr="000F19A8">
              <w:rPr>
                <w:rStyle w:val="Hipervnculo"/>
                <w:rFonts w:ascii="Times New Roman" w:hAnsi="Times New Roman" w:cs="Times New Roman"/>
                <w:noProof/>
              </w:rPr>
              <w:t>4.4 Subsistema de detección de incendios (PCI) y monitoreo centralizado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_Toc239801391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0FA364" w14:textId="0C61BF36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92" w:history="1">
            <w:r w:rsidRPr="000F19A8">
              <w:rPr>
                <w:rStyle w:val="Hipervnculo"/>
                <w:rFonts w:ascii="Times New Roman" w:hAnsi="Times New Roman" w:cs="Times New Roman"/>
                <w:noProof/>
              </w:rPr>
              <w:t>4.5 Protocolos de mantenimiento preventivo y correctivo de la infraestructura de seguridad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_Toc239801392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FC1B68" w14:textId="6DDDC53B" w:rsidR="000F19A8" w:rsidRPr="000F19A8" w:rsidRDefault="000F19A8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93" w:history="1">
            <w:r w:rsidRPr="000F19A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Plan de Implementación Integral, Infraestructura Física y Viabilidad Técnica para IRTRA Petapa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_Toc239801393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B43AB9" w14:textId="2547ACBA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94" w:history="1">
            <w:r w:rsidRPr="000F19A8">
              <w:rPr>
                <w:rStyle w:val="Hipervnculo"/>
                <w:rFonts w:ascii="Times New Roman" w:hAnsi="Times New Roman" w:cs="Times New Roman"/>
                <w:noProof/>
              </w:rPr>
              <w:t>5.1 Integración de infraestructuras eléctricas, canalizaciones y cableado estructurado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_Toc239801394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3DB22A" w14:textId="04F96D57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95" w:history="1">
            <w:r w:rsidRPr="000F19A8">
              <w:rPr>
                <w:rStyle w:val="Hipervnculo"/>
                <w:rFonts w:ascii="Times New Roman" w:hAnsi="Times New Roman" w:cs="Times New Roman"/>
                <w:noProof/>
              </w:rPr>
              <w:t>5.2 Evaluación del impacto del flujo de visitantes en la demanda energética (Energía por visitante)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_Toc239801395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E89865" w14:textId="27BB5ECD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96" w:history="1">
            <w:r w:rsidRPr="000F19A8">
              <w:rPr>
                <w:rStyle w:val="Hipervnculo"/>
                <w:rFonts w:ascii="Times New Roman" w:hAnsi="Times New Roman" w:cs="Times New Roman"/>
                <w:noProof/>
              </w:rPr>
              <w:t>5.3 Especificaciones de diseño para diagramas de circuito y esquemas de conexión horizontal (Matriz Técnica)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_Toc239801396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2B622A" w14:textId="1610D54B" w:rsidR="000F19A8" w:rsidRPr="000F19A8" w:rsidRDefault="000F19A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97" w:history="1">
            <w:r w:rsidRPr="000F19A8">
              <w:rPr>
                <w:rStyle w:val="Hipervnculo"/>
                <w:rFonts w:ascii="Times New Roman" w:hAnsi="Times New Roman" w:cs="Times New Roman"/>
                <w:noProof/>
              </w:rPr>
              <w:t>5.4 Hoja de ruta para la ejecución del proyecto y alineación normativa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_Toc239801397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61A852" w14:textId="2FBE8C2B" w:rsidR="000F19A8" w:rsidRPr="000F19A8" w:rsidRDefault="000F19A8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98" w:history="1">
            <w:r w:rsidRPr="000F19A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REFERENCIAS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_Toc239801398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831B12" w14:textId="6A6340BF" w:rsidR="000F19A8" w:rsidRPr="000F19A8" w:rsidRDefault="000F19A8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GT"/>
            </w:rPr>
          </w:pPr>
          <w:hyperlink w:anchor="_Toc239801399" w:history="1">
            <w:r w:rsidRPr="000F19A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Referencias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instrText xml:space="preserve"> PAGEREF _Toc239801399 \h </w:instrTex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0F19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C1AA11" w14:textId="55B24DBD" w:rsidR="00661BAD" w:rsidRPr="000F2CF2" w:rsidRDefault="00661BAD" w:rsidP="000F2CF2">
          <w:pPr>
            <w:spacing w:afterLines="120" w:after="288" w:line="360" w:lineRule="auto"/>
            <w:rPr>
              <w:rFonts w:ascii="Times New Roman" w:hAnsi="Times New Roman" w:cs="Times New Roman"/>
              <w:sz w:val="22"/>
              <w:szCs w:val="22"/>
            </w:rPr>
          </w:pPr>
          <w:r w:rsidRPr="000F19A8">
            <w:rPr>
              <w:rFonts w:ascii="Times New Roman" w:hAnsi="Times New Roman" w:cs="Times New Roman"/>
              <w:b/>
              <w:bCs/>
              <w:sz w:val="22"/>
              <w:szCs w:val="22"/>
              <w:lang w:val="es-MX"/>
            </w:rPr>
            <w:fldChar w:fldCharType="end"/>
          </w:r>
        </w:p>
      </w:sdtContent>
    </w:sdt>
    <w:p w14:paraId="162B9B49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  <w:sectPr w:rsidR="00661BAD" w:rsidRPr="000F2CF2" w:rsidSect="00661BAD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7FA87D79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4D3CEBA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5917DE6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FDEA372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77E5E52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D3C00FE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F762897" w14:textId="77777777" w:rsidR="00661BAD" w:rsidRDefault="00661BAD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3AEF63D" w14:textId="77777777" w:rsidR="000F2CF2" w:rsidRPr="000F2CF2" w:rsidRDefault="000F2CF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4D87CCA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67FF422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DEC4835" w14:textId="60382F6B" w:rsidR="00661BAD" w:rsidRPr="00CB6F56" w:rsidRDefault="00661BAD" w:rsidP="00CB6F56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0" w:name="_Toc239801372"/>
      <w:r w:rsidRPr="00CB6F5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Fundamentos de Sostenibilidad y Descarbonización en Parques de Diversiones (Enfoque IRTRA Petapa)</w:t>
      </w:r>
      <w:bookmarkEnd w:id="0"/>
    </w:p>
    <w:p w14:paraId="55C5BB81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  <w:sectPr w:rsidR="00661BAD" w:rsidRPr="000F2CF2" w:rsidSect="00E01148">
          <w:headerReference w:type="default" r:id="rId10"/>
          <w:footerReference w:type="default" r:id="rId11"/>
          <w:pgSz w:w="12240" w:h="15840"/>
          <w:pgMar w:top="1418" w:right="1701" w:bottom="1418" w:left="1701" w:header="709" w:footer="709" w:gutter="0"/>
          <w:pgNumType w:start="1"/>
          <w:cols w:space="708"/>
          <w:docGrid w:linePitch="360"/>
        </w:sectPr>
      </w:pPr>
    </w:p>
    <w:p w14:paraId="77CF37D8" w14:textId="77777777" w:rsidR="00195302" w:rsidRDefault="00195302" w:rsidP="00710345">
      <w:pPr>
        <w:pStyle w:val="Ttulo2"/>
        <w:jc w:val="both"/>
        <w:rPr>
          <w:rFonts w:cs="Times New Roman"/>
          <w:b w:val="0"/>
          <w:bCs/>
          <w:szCs w:val="28"/>
        </w:rPr>
      </w:pPr>
      <w:bookmarkStart w:id="1" w:name="_Toc239801373"/>
      <w:r w:rsidRPr="00CB6F56">
        <w:rPr>
          <w:rFonts w:cs="Times New Roman"/>
          <w:b w:val="0"/>
          <w:bCs/>
          <w:szCs w:val="28"/>
        </w:rPr>
        <w:lastRenderedPageBreak/>
        <w:t>1.1 Diagnóstico de emisiones de Gases de Efecto Invernadero (GEI): Alcance 1 y Alcance 2</w:t>
      </w:r>
      <w:bookmarkEnd w:id="1"/>
    </w:p>
    <w:p w14:paraId="62509397" w14:textId="77777777" w:rsidR="00CB6F56" w:rsidRPr="00CB6F56" w:rsidRDefault="00CB6F56" w:rsidP="00710345">
      <w:pPr>
        <w:jc w:val="both"/>
      </w:pPr>
    </w:p>
    <w:p w14:paraId="639E41EB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El diagnóstico de emisiones de Gases de Efecto Invernadero (GEI) en instalaciones de entretenimiento a gran escala permite categorizar el impacto ambiental directo e indirecto para establecer estrategias de mitigación efectivas. </w:t>
      </w:r>
    </w:p>
    <w:p w14:paraId="4953B64D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Emisiones de Alcance 1 (Directas):</w:t>
      </w:r>
      <w:r w:rsidRPr="000F2CF2">
        <w:rPr>
          <w:rFonts w:ascii="Times New Roman" w:hAnsi="Times New Roman" w:cs="Times New Roman"/>
          <w:sz w:val="22"/>
          <w:szCs w:val="22"/>
        </w:rPr>
        <w:t xml:space="preserve"> Provienen de fuentes propias o controladas por la organización, como la combustión de gas natural en calentadores de agua, sistemas de cocina, generadores diésel de emergencia y vehículos de servicio. También incluyen emisiones fugitivas derivadas de fugas de refrigerantes en sistemas de aire acondicionado y climatización de atracciones. </w:t>
      </w:r>
    </w:p>
    <w:p w14:paraId="2B859153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Emisiones de Alcance 2 (Indirectas):</w:t>
      </w:r>
      <w:r w:rsidRPr="000F2CF2">
        <w:rPr>
          <w:rFonts w:ascii="Times New Roman" w:hAnsi="Times New Roman" w:cs="Times New Roman"/>
          <w:sz w:val="22"/>
          <w:szCs w:val="22"/>
        </w:rPr>
        <w:t xml:space="preserve"> Representan aproximadamente dos tercios (67% - 68%) del total de emisiones de GEI en parques recreativos, generadas fuera del sitio por la compra de energía eléctrica a la red nacional. </w:t>
      </w:r>
    </w:p>
    <w:p w14:paraId="3E24DF77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Emisiones Fugas y Combustibles Móviles:</w:t>
      </w:r>
      <w:r w:rsidRPr="000F2CF2">
        <w:rPr>
          <w:rFonts w:ascii="Times New Roman" w:hAnsi="Times New Roman" w:cs="Times New Roman"/>
          <w:sz w:val="22"/>
          <w:szCs w:val="22"/>
        </w:rPr>
        <w:t xml:space="preserve"> Las fugas de refrigerantes equivalen a un 8% del total de emisiones, mientras que el uso de combustibles móviles para mantenimiento representa el 5% del perfil de emisiones. </w:t>
      </w:r>
    </w:p>
    <w:p w14:paraId="279DA88E" w14:textId="680245C1" w:rsidR="00195302" w:rsidRDefault="00195302" w:rsidP="00710345">
      <w:pPr>
        <w:pStyle w:val="Ttulo2"/>
        <w:jc w:val="both"/>
        <w:rPr>
          <w:rFonts w:cs="Times New Roman"/>
          <w:b w:val="0"/>
          <w:bCs/>
          <w:szCs w:val="28"/>
        </w:rPr>
      </w:pPr>
      <w:bookmarkStart w:id="2" w:name="_Toc239801374"/>
      <w:r w:rsidRPr="00710345">
        <w:rPr>
          <w:rFonts w:cs="Times New Roman"/>
          <w:b w:val="0"/>
          <w:bCs/>
          <w:szCs w:val="28"/>
        </w:rPr>
        <w:t>1.2 ODS 7: Energía Asequible y No Contaminante en infraestructuras de recreación</w:t>
      </w:r>
      <w:bookmarkEnd w:id="2"/>
    </w:p>
    <w:p w14:paraId="0215351F" w14:textId="77777777" w:rsidR="00710345" w:rsidRPr="00710345" w:rsidRDefault="00710345" w:rsidP="00710345">
      <w:pPr>
        <w:jc w:val="both"/>
      </w:pPr>
    </w:p>
    <w:p w14:paraId="66581EA2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La adopción del Objetivo de Desarrollo Sostenible (ODS) 7 en parques temáticos como el IRTRA Petapa exige la transición estratégica hacia sistemas de energía limpios y la optimización continua del consumo energético global. </w:t>
      </w:r>
    </w:p>
    <w:p w14:paraId="5D9C1EE4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Estrategias de Descarbonización:</w:t>
      </w:r>
      <w:r w:rsidRPr="000F2CF2">
        <w:rPr>
          <w:rFonts w:ascii="Times New Roman" w:hAnsi="Times New Roman" w:cs="Times New Roman"/>
          <w:sz w:val="22"/>
          <w:szCs w:val="22"/>
        </w:rPr>
        <w:t xml:space="preserve"> Sustitución de equipos alimentados por combustibles fósiles por alternativas eléctricas eficientes. </w:t>
      </w:r>
    </w:p>
    <w:p w14:paraId="4959FC33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Integración Renovable:</w:t>
      </w:r>
      <w:r w:rsidRPr="000F2CF2">
        <w:rPr>
          <w:rFonts w:ascii="Times New Roman" w:hAnsi="Times New Roman" w:cs="Times New Roman"/>
          <w:sz w:val="22"/>
          <w:szCs w:val="22"/>
        </w:rPr>
        <w:t xml:space="preserve"> Instalación de microgeneración fotovoltaica en techos de instalaciones, áreas de estacionamiento y postes de iluminación independientes. </w:t>
      </w:r>
    </w:p>
    <w:p w14:paraId="1C2D1588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Adquisición Verde:</w:t>
      </w:r>
      <w:r w:rsidRPr="000F2CF2">
        <w:rPr>
          <w:rFonts w:ascii="Times New Roman" w:hAnsi="Times New Roman" w:cs="Times New Roman"/>
          <w:sz w:val="22"/>
          <w:szCs w:val="22"/>
        </w:rPr>
        <w:t xml:space="preserve"> Contratación de energía mediante suministradores calificados que certifiquen el origen renovable de la electricidad, reduciendo el factor de emisión del Alcance 2. </w:t>
      </w:r>
    </w:p>
    <w:p w14:paraId="089FD68E" w14:textId="77777777" w:rsidR="00195302" w:rsidRDefault="00195302" w:rsidP="00710345">
      <w:pPr>
        <w:pStyle w:val="Ttulo2"/>
        <w:jc w:val="both"/>
        <w:rPr>
          <w:rFonts w:cs="Times New Roman"/>
          <w:b w:val="0"/>
          <w:bCs/>
          <w:szCs w:val="28"/>
        </w:rPr>
      </w:pPr>
      <w:bookmarkStart w:id="3" w:name="_Toc239801375"/>
      <w:r w:rsidRPr="00710345">
        <w:rPr>
          <w:rFonts w:cs="Times New Roman"/>
          <w:b w:val="0"/>
          <w:bCs/>
          <w:szCs w:val="28"/>
        </w:rPr>
        <w:lastRenderedPageBreak/>
        <w:t>1.3 Optimización del consumo energético en períodos de fuera de temporada (Off-Season)</w:t>
      </w:r>
      <w:bookmarkEnd w:id="3"/>
    </w:p>
    <w:p w14:paraId="73A11289" w14:textId="77777777" w:rsidR="00710345" w:rsidRPr="00710345" w:rsidRDefault="00710345" w:rsidP="00710345">
      <w:pPr>
        <w:jc w:val="both"/>
      </w:pPr>
    </w:p>
    <w:p w14:paraId="76F6B862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Durante las épocas de baja afluencia o cierre de operaciones, los parques recreativos registran consumos energéticos residuales significativos que pueden ser minimizados mediante políticas de atenuación programada. </w:t>
      </w:r>
    </w:p>
    <w:p w14:paraId="720C8DA5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Control de Ocupación:</w:t>
      </w:r>
      <w:r w:rsidRPr="000F2CF2">
        <w:rPr>
          <w:rFonts w:ascii="Times New Roman" w:hAnsi="Times New Roman" w:cs="Times New Roman"/>
          <w:sz w:val="22"/>
          <w:szCs w:val="22"/>
        </w:rPr>
        <w:t xml:space="preserve"> Implementación de termostatos programables y sensores de presencia para reducir la climatización en zonas no operativas. </w:t>
      </w:r>
    </w:p>
    <w:p w14:paraId="66A2F17E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Desconexión de Cargas Inactivas:</w:t>
      </w:r>
      <w:r w:rsidRPr="000F2CF2">
        <w:rPr>
          <w:rFonts w:ascii="Times New Roman" w:hAnsi="Times New Roman" w:cs="Times New Roman"/>
          <w:sz w:val="22"/>
          <w:szCs w:val="22"/>
        </w:rPr>
        <w:t xml:space="preserve"> Protocolos de apilamiento y gestión de inventario para apagar atracciones y equipos de cocina fuera de servicio. </w:t>
      </w:r>
    </w:p>
    <w:p w14:paraId="14176709" w14:textId="27AC4428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Ajuste de Consignas Térmicas:</w:t>
      </w:r>
      <w:r w:rsidRPr="000F2CF2">
        <w:rPr>
          <w:rFonts w:ascii="Times New Roman" w:hAnsi="Times New Roman" w:cs="Times New Roman"/>
          <w:sz w:val="22"/>
          <w:szCs w:val="22"/>
        </w:rPr>
        <w:t xml:space="preserve"> Reducción de rangos de temperatura en áreas de almacenamiento y espacios administrativos inactivos. </w:t>
      </w:r>
    </w:p>
    <w:p w14:paraId="60D88C33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Monitoreo Remoto: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Inspección remota de parámetros para prevenir daños en equipos por congelamiento o sobrecalentamiento sin mantener el consumo completo. </w:t>
      </w:r>
    </w:p>
    <w:p w14:paraId="6E8768C0" w14:textId="77777777" w:rsidR="00195302" w:rsidRDefault="00195302" w:rsidP="00710345">
      <w:pPr>
        <w:pStyle w:val="Ttulo2"/>
        <w:jc w:val="both"/>
        <w:rPr>
          <w:rFonts w:cs="Times New Roman"/>
          <w:b w:val="0"/>
          <w:bCs/>
          <w:szCs w:val="28"/>
        </w:rPr>
      </w:pPr>
      <w:bookmarkStart w:id="4" w:name="_Toc239801376"/>
      <w:r w:rsidRPr="00710345">
        <w:rPr>
          <w:rFonts w:cs="Times New Roman"/>
          <w:b w:val="0"/>
          <w:bCs/>
          <w:szCs w:val="28"/>
        </w:rPr>
        <w:t>1.4 Estrategias de conservación y gestión de recursos hídricos en parques temáticos</w:t>
      </w:r>
      <w:bookmarkEnd w:id="4"/>
    </w:p>
    <w:p w14:paraId="7085F22C" w14:textId="77777777" w:rsidR="00710345" w:rsidRPr="00710345" w:rsidRDefault="00710345" w:rsidP="00710345">
      <w:pPr>
        <w:jc w:val="both"/>
      </w:pPr>
    </w:p>
    <w:p w14:paraId="5BCA80FD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La gestión hídrica en infraestructura recreativa requiere controles rigurosos debido al volumen demandado en atracciones acuáticas, riego y servicios sanitarios. </w:t>
      </w:r>
    </w:p>
    <w:p w14:paraId="02C351D7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Reparación de Fugas:</w:t>
      </w:r>
      <w:r w:rsidRPr="000F2CF2">
        <w:rPr>
          <w:rFonts w:ascii="Times New Roman" w:hAnsi="Times New Roman" w:cs="Times New Roman"/>
          <w:sz w:val="22"/>
          <w:szCs w:val="22"/>
        </w:rPr>
        <w:t xml:space="preserve"> Mantenimiento preventivo periódico en válvulas de descarga, sanitarios y tuberías de distribución. </w:t>
      </w:r>
    </w:p>
    <w:p w14:paraId="1A27561C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Automatización de Piscinas:</w:t>
      </w:r>
      <w:r w:rsidRPr="000F2CF2">
        <w:rPr>
          <w:rFonts w:ascii="Times New Roman" w:hAnsi="Times New Roman" w:cs="Times New Roman"/>
          <w:sz w:val="22"/>
          <w:szCs w:val="22"/>
        </w:rPr>
        <w:t xml:space="preserve"> Control automatizado del nivel de agua y sistemas de filtración en atracciones acuáticas para evitar reboses accidentales. </w:t>
      </w:r>
    </w:p>
    <w:p w14:paraId="721F4211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Captación Pluvial:</w:t>
      </w:r>
      <w:r w:rsidRPr="000F2CF2">
        <w:rPr>
          <w:rFonts w:ascii="Times New Roman" w:hAnsi="Times New Roman" w:cs="Times New Roman"/>
          <w:sz w:val="22"/>
          <w:szCs w:val="22"/>
        </w:rPr>
        <w:t xml:space="preserve"> Implementación de sistemas de cosecha de agua de lluvia para su aprovechamiento en riego de áreas verdes y limpieza. </w:t>
      </w:r>
    </w:p>
    <w:p w14:paraId="34368B79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lastRenderedPageBreak/>
        <w:t>Medición Inteligente:</w:t>
      </w:r>
      <w:r w:rsidRPr="000F2CF2">
        <w:rPr>
          <w:rFonts w:ascii="Times New Roman" w:hAnsi="Times New Roman" w:cs="Times New Roman"/>
          <w:sz w:val="22"/>
          <w:szCs w:val="22"/>
        </w:rPr>
        <w:t xml:space="preserve"> Instalación de contadores con telemetría horaria para detectar consumos atípicos durante horas nocturnas.</w:t>
      </w:r>
    </w:p>
    <w:p w14:paraId="7EEDE2A8" w14:textId="77777777" w:rsidR="00195302" w:rsidRPr="000F2CF2" w:rsidRDefault="00195302" w:rsidP="00710345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  <w:sectPr w:rsidR="00195302" w:rsidRPr="000F2CF2" w:rsidSect="00661BAD">
          <w:headerReference w:type="default" r:id="rId12"/>
          <w:footerReference w:type="default" r:id="rId13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3F5DD4A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0EE1692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43D1EF9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EA27F7A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CA9F1D8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21B3F77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A4D003F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D2BFBDA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F8EA191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89DC082" w14:textId="77777777" w:rsidR="00CB6F56" w:rsidRPr="000F2CF2" w:rsidRDefault="00CB6F56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00BDEC2" w14:textId="48589CA5" w:rsidR="00195302" w:rsidRPr="00CB6F56" w:rsidRDefault="00195302" w:rsidP="00CB6F56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5" w:name="_Toc239801377"/>
      <w:r w:rsidRPr="00CB6F5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Alumbrado Público Eficiente y la Transición hacia Ciudades e Infraestructuras Inteligentes</w:t>
      </w:r>
      <w:bookmarkEnd w:id="5"/>
    </w:p>
    <w:p w14:paraId="26E91E46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  <w:sectPr w:rsidR="00195302" w:rsidRPr="000F2CF2" w:rsidSect="00661BAD">
          <w:headerReference w:type="default" r:id="rId14"/>
          <w:footerReference w:type="default" r:id="rId15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2E962BCF" w14:textId="521B8142" w:rsidR="008A0FED" w:rsidRDefault="00195302" w:rsidP="008A0FED">
      <w:pPr>
        <w:pStyle w:val="Ttulo2"/>
        <w:jc w:val="both"/>
        <w:rPr>
          <w:rFonts w:cs="Times New Roman"/>
          <w:b w:val="0"/>
          <w:bCs/>
          <w:szCs w:val="28"/>
        </w:rPr>
      </w:pPr>
      <w:bookmarkStart w:id="6" w:name="_Toc239801378"/>
      <w:r w:rsidRPr="008A0FED">
        <w:rPr>
          <w:rFonts w:cs="Times New Roman"/>
          <w:b w:val="0"/>
          <w:bCs/>
          <w:szCs w:val="28"/>
        </w:rPr>
        <w:lastRenderedPageBreak/>
        <w:t>2.1 Evolución tecnológica del alumbrado público: De descarga a tecnología LED</w:t>
      </w:r>
      <w:bookmarkEnd w:id="6"/>
    </w:p>
    <w:p w14:paraId="5AC1AE06" w14:textId="77777777" w:rsidR="008A0FED" w:rsidRPr="008A0FED" w:rsidRDefault="008A0FED" w:rsidP="008A0FED">
      <w:pPr>
        <w:jc w:val="both"/>
      </w:pPr>
    </w:p>
    <w:p w14:paraId="34F7BF63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El alumbrado exterior ha evolucionado desde tecnologías de descarga de alta intensidad hacia luminarias con diodos emisores de luz (LED), las cuales ofrecen mayor vida útil y eficiencia luminosa. </w:t>
      </w:r>
    </w:p>
    <w:p w14:paraId="1F75F73C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Composición Histórica:</w:t>
      </w:r>
      <w:r w:rsidRPr="000F2CF2">
        <w:rPr>
          <w:rFonts w:ascii="Times New Roman" w:hAnsi="Times New Roman" w:cs="Times New Roman"/>
          <w:sz w:val="22"/>
          <w:szCs w:val="22"/>
        </w:rPr>
        <w:t xml:space="preserve"> Los sistemas tradicionales utilizaban principalmente vapor de sodio de alta presión (62%), aditivos metálicos cerámicos (13%), aditivos metálicos de cuarzo (9%) y vapor de mercurio o fluorescentes (13%). </w:t>
      </w:r>
    </w:p>
    <w:p w14:paraId="0B9A6A1A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Potencial de Ahorro: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La sustitución por tecnología LED genera reducciones del consumo eléctrico que oscilan entre el 20% y el 89%, dependiendo de la tecnología preexistente. </w:t>
      </w:r>
    </w:p>
    <w:p w14:paraId="3DE52EDA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Penetración Actual:</w:t>
      </w:r>
      <w:r w:rsidRPr="000F2CF2">
        <w:rPr>
          <w:rFonts w:ascii="Times New Roman" w:hAnsi="Times New Roman" w:cs="Times New Roman"/>
          <w:sz w:val="22"/>
          <w:szCs w:val="22"/>
        </w:rPr>
        <w:t xml:space="preserve"> En proyectos modernos de modernización de infraestructura, la tecnología LED representa más del 70% de las luminarias instaladas debido a su adaptabilidad. </w:t>
      </w:r>
    </w:p>
    <w:p w14:paraId="1C433F02" w14:textId="77777777" w:rsidR="00195302" w:rsidRDefault="00195302" w:rsidP="008A0FED">
      <w:pPr>
        <w:pStyle w:val="Ttulo2"/>
        <w:jc w:val="both"/>
        <w:rPr>
          <w:rFonts w:cs="Times New Roman"/>
          <w:b w:val="0"/>
          <w:bCs/>
          <w:szCs w:val="28"/>
        </w:rPr>
      </w:pPr>
      <w:bookmarkStart w:id="7" w:name="_Toc239801379"/>
      <w:r w:rsidRPr="008A0FED">
        <w:rPr>
          <w:rFonts w:cs="Times New Roman"/>
          <w:b w:val="0"/>
          <w:bCs/>
          <w:szCs w:val="28"/>
        </w:rPr>
        <w:t>2.2 Integración del Internet de las Cosas (</w:t>
      </w:r>
      <w:proofErr w:type="spellStart"/>
      <w:r w:rsidRPr="008A0FED">
        <w:rPr>
          <w:rFonts w:cs="Times New Roman"/>
          <w:b w:val="0"/>
          <w:bCs/>
          <w:szCs w:val="28"/>
        </w:rPr>
        <w:t>IoT</w:t>
      </w:r>
      <w:proofErr w:type="spellEnd"/>
      <w:r w:rsidRPr="008A0FED">
        <w:rPr>
          <w:rFonts w:cs="Times New Roman"/>
          <w:b w:val="0"/>
          <w:bCs/>
          <w:szCs w:val="28"/>
        </w:rPr>
        <w:t xml:space="preserve">) y </w:t>
      </w:r>
      <w:proofErr w:type="spellStart"/>
      <w:r w:rsidRPr="008A0FED">
        <w:rPr>
          <w:rFonts w:cs="Times New Roman"/>
          <w:b w:val="0"/>
          <w:bCs/>
          <w:szCs w:val="28"/>
        </w:rPr>
        <w:t>telegestión</w:t>
      </w:r>
      <w:proofErr w:type="spellEnd"/>
      <w:r w:rsidRPr="008A0FED">
        <w:rPr>
          <w:rFonts w:cs="Times New Roman"/>
          <w:b w:val="0"/>
          <w:bCs/>
          <w:szCs w:val="28"/>
        </w:rPr>
        <w:t xml:space="preserve"> en sistemas de iluminación</w:t>
      </w:r>
      <w:bookmarkEnd w:id="7"/>
    </w:p>
    <w:p w14:paraId="1B1EFC91" w14:textId="77777777" w:rsidR="008A0FED" w:rsidRPr="008A0FED" w:rsidRDefault="008A0FED" w:rsidP="008A0FED">
      <w:pPr>
        <w:jc w:val="both"/>
      </w:pPr>
    </w:p>
    <w:p w14:paraId="5AD4F316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La infraestructura de alumbrado público constituye la columna vertebral para el despliegue de redes sensorizadas e </w:t>
      </w:r>
      <w:proofErr w:type="spellStart"/>
      <w:r w:rsidRPr="000F2CF2">
        <w:rPr>
          <w:rFonts w:ascii="Times New Roman" w:hAnsi="Times New Roman" w:cs="Times New Roman"/>
          <w:sz w:val="22"/>
          <w:szCs w:val="22"/>
        </w:rPr>
        <w:t>IoT</w:t>
      </w:r>
      <w:proofErr w:type="spellEnd"/>
      <w:r w:rsidRPr="000F2CF2">
        <w:rPr>
          <w:rFonts w:ascii="Times New Roman" w:hAnsi="Times New Roman" w:cs="Times New Roman"/>
          <w:sz w:val="22"/>
          <w:szCs w:val="22"/>
        </w:rPr>
        <w:t xml:space="preserve"> en plataformas de Smart </w:t>
      </w:r>
      <w:proofErr w:type="spellStart"/>
      <w:r w:rsidRPr="000F2CF2">
        <w:rPr>
          <w:rFonts w:ascii="Times New Roman" w:hAnsi="Times New Roman" w:cs="Times New Roman"/>
          <w:sz w:val="22"/>
          <w:szCs w:val="22"/>
        </w:rPr>
        <w:t>Cities</w:t>
      </w:r>
      <w:proofErr w:type="spellEnd"/>
      <w:r w:rsidRPr="000F2CF2">
        <w:rPr>
          <w:rFonts w:ascii="Times New Roman" w:hAnsi="Times New Roman" w:cs="Times New Roman"/>
          <w:sz w:val="22"/>
          <w:szCs w:val="22"/>
        </w:rPr>
        <w:t xml:space="preserve"> y parques temáticos. </w:t>
      </w:r>
    </w:p>
    <w:p w14:paraId="367E7825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 xml:space="preserve">Nodos de </w:t>
      </w:r>
      <w:proofErr w:type="spellStart"/>
      <w:r w:rsidRPr="000F2CF2">
        <w:rPr>
          <w:rFonts w:ascii="Times New Roman" w:hAnsi="Times New Roman" w:cs="Times New Roman"/>
          <w:b/>
          <w:bCs/>
          <w:sz w:val="22"/>
          <w:szCs w:val="22"/>
        </w:rPr>
        <w:t>Telegestión</w:t>
      </w:r>
      <w:proofErr w:type="spellEnd"/>
      <w:r w:rsidRPr="000F2CF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F2CF2">
        <w:rPr>
          <w:rFonts w:ascii="Times New Roman" w:hAnsi="Times New Roman" w:cs="Times New Roman"/>
          <w:sz w:val="22"/>
          <w:szCs w:val="22"/>
        </w:rPr>
        <w:t xml:space="preserve"> Sensores conectados en el receptáculo de la fotocelda de las luminarias LED que permiten medir y vigilar el consumo de potencia en tiempo real. </w:t>
      </w:r>
    </w:p>
    <w:p w14:paraId="2CD40586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Operación Remota:</w:t>
      </w:r>
      <w:r w:rsidRPr="000F2CF2">
        <w:rPr>
          <w:rFonts w:ascii="Times New Roman" w:hAnsi="Times New Roman" w:cs="Times New Roman"/>
          <w:sz w:val="22"/>
          <w:szCs w:val="22"/>
        </w:rPr>
        <w:t xml:space="preserve"> Modulación remota del flujo luminoso (</w:t>
      </w:r>
      <w:proofErr w:type="spellStart"/>
      <w:r w:rsidRPr="000F2CF2">
        <w:rPr>
          <w:rFonts w:ascii="Times New Roman" w:hAnsi="Times New Roman" w:cs="Times New Roman"/>
          <w:sz w:val="22"/>
          <w:szCs w:val="22"/>
        </w:rPr>
        <w:t>dimming</w:t>
      </w:r>
      <w:proofErr w:type="spellEnd"/>
      <w:r w:rsidRPr="000F2CF2">
        <w:rPr>
          <w:rFonts w:ascii="Times New Roman" w:hAnsi="Times New Roman" w:cs="Times New Roman"/>
          <w:sz w:val="22"/>
          <w:szCs w:val="22"/>
        </w:rPr>
        <w:t xml:space="preserve">) en horas de baja circulación para maximizar el ahorro energético. </w:t>
      </w:r>
    </w:p>
    <w:p w14:paraId="5CE4B69A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Mantenimiento Predictivo: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Detección automática de fallas en la red eléctrica o en la luminaria antes de que se genere una interrupción completa del servicio. </w:t>
      </w:r>
    </w:p>
    <w:p w14:paraId="4D3E1261" w14:textId="77777777" w:rsidR="00195302" w:rsidRPr="008A0FED" w:rsidRDefault="00195302" w:rsidP="008A0FED">
      <w:pPr>
        <w:pStyle w:val="Ttulo2"/>
        <w:jc w:val="both"/>
        <w:rPr>
          <w:rFonts w:cs="Times New Roman"/>
          <w:b w:val="0"/>
          <w:bCs/>
          <w:szCs w:val="28"/>
        </w:rPr>
      </w:pPr>
      <w:bookmarkStart w:id="8" w:name="_Toc239801380"/>
      <w:r w:rsidRPr="008A0FED">
        <w:rPr>
          <w:rFonts w:cs="Times New Roman"/>
          <w:b w:val="0"/>
          <w:bCs/>
          <w:szCs w:val="28"/>
        </w:rPr>
        <w:t>2.3 Normativa técnica y certificación de eficiencia energética</w:t>
      </w:r>
      <w:bookmarkEnd w:id="8"/>
    </w:p>
    <w:p w14:paraId="6153E44F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La ejecución de proyectos de iluminación eficiente requiere el cumplimiento estricto de estándares normativos para garantizar la seguridad eléctrica y el rendimiento energético. </w:t>
      </w:r>
    </w:p>
    <w:p w14:paraId="6A6A9911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lastRenderedPageBreak/>
        <w:t>Garantía Técnica:</w:t>
      </w:r>
      <w:r w:rsidRPr="000F2CF2">
        <w:rPr>
          <w:rFonts w:ascii="Times New Roman" w:hAnsi="Times New Roman" w:cs="Times New Roman"/>
          <w:sz w:val="22"/>
          <w:szCs w:val="22"/>
        </w:rPr>
        <w:t xml:space="preserve"> Evaluaciones de conformidad bajo la NOM-031-ENER-2012 para luminarias LED, asegurando garantías mínimas de 5 años. </w:t>
      </w:r>
    </w:p>
    <w:p w14:paraId="167F105F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Seguridad Eléctrica:</w:t>
      </w:r>
      <w:r w:rsidRPr="000F2CF2">
        <w:rPr>
          <w:rFonts w:ascii="Times New Roman" w:hAnsi="Times New Roman" w:cs="Times New Roman"/>
          <w:sz w:val="22"/>
          <w:szCs w:val="22"/>
        </w:rPr>
        <w:t xml:space="preserve"> Cumplimiento de la NOM-001-SEDE para la infraestructura de cableado, transformadores y protecciones </w:t>
      </w:r>
      <w:proofErr w:type="spellStart"/>
      <w:r w:rsidRPr="000F2CF2">
        <w:rPr>
          <w:rFonts w:ascii="Times New Roman" w:hAnsi="Times New Roman" w:cs="Times New Roman"/>
          <w:sz w:val="22"/>
          <w:szCs w:val="22"/>
        </w:rPr>
        <w:t>circuitales</w:t>
      </w:r>
      <w:proofErr w:type="spellEnd"/>
      <w:r w:rsidRPr="000F2CF2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3A3D545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Unidades de Verificación (UVIE):</w:t>
      </w:r>
      <w:r w:rsidRPr="000F2CF2">
        <w:rPr>
          <w:rFonts w:ascii="Times New Roman" w:hAnsi="Times New Roman" w:cs="Times New Roman"/>
          <w:sz w:val="22"/>
          <w:szCs w:val="22"/>
        </w:rPr>
        <w:t xml:space="preserve"> Certificación obligatoria por parte de Unidades de Verificación de Instalaciones Eléctricas para brindar certeza a las inversiones realizadas. </w:t>
      </w:r>
    </w:p>
    <w:p w14:paraId="5F3979DA" w14:textId="77777777" w:rsidR="00195302" w:rsidRDefault="00195302" w:rsidP="008A0FED">
      <w:pPr>
        <w:pStyle w:val="Ttulo2"/>
        <w:jc w:val="both"/>
        <w:rPr>
          <w:rFonts w:cs="Times New Roman"/>
          <w:b w:val="0"/>
          <w:bCs/>
          <w:szCs w:val="28"/>
        </w:rPr>
      </w:pPr>
      <w:bookmarkStart w:id="9" w:name="_Toc239801381"/>
      <w:r w:rsidRPr="008A0FED">
        <w:rPr>
          <w:rFonts w:cs="Times New Roman"/>
          <w:b w:val="0"/>
          <w:bCs/>
          <w:szCs w:val="28"/>
        </w:rPr>
        <w:t>2.4 Modelos de financiamiento y esquemas de contratación (APP y Crédito Tradicional)</w:t>
      </w:r>
      <w:bookmarkEnd w:id="9"/>
    </w:p>
    <w:p w14:paraId="417CFE97" w14:textId="77777777" w:rsidR="008A0FED" w:rsidRPr="008A0FED" w:rsidRDefault="008A0FED" w:rsidP="008A0FED">
      <w:pPr>
        <w:jc w:val="both"/>
      </w:pPr>
    </w:p>
    <w:p w14:paraId="3B048C78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La implementación de proyectos de alumbrado eficiente utiliza diversos modelos de estructuración financiera y legal. </w:t>
      </w:r>
    </w:p>
    <w:p w14:paraId="388D9D21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Adquisición de Bienes (Crédito Simple):</w:t>
      </w:r>
      <w:r w:rsidRPr="000F2CF2">
        <w:rPr>
          <w:rFonts w:ascii="Times New Roman" w:hAnsi="Times New Roman" w:cs="Times New Roman"/>
          <w:sz w:val="22"/>
          <w:szCs w:val="22"/>
        </w:rPr>
        <w:t xml:space="preserve"> Es el esquema más utilizado (75%), donde la entidad adquiere la propiedad directa de los equipos mediante financiamiento bancario convencional. </w:t>
      </w:r>
    </w:p>
    <w:p w14:paraId="2BD1C40C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Asociaciones Público-Privadas (APP):</w:t>
      </w:r>
      <w:r w:rsidRPr="000F2CF2">
        <w:rPr>
          <w:rFonts w:ascii="Times New Roman" w:hAnsi="Times New Roman" w:cs="Times New Roman"/>
          <w:sz w:val="22"/>
          <w:szCs w:val="22"/>
        </w:rPr>
        <w:t xml:space="preserve"> Incluyen contratos de prestación de servicios (18%), arrendamiento financiero (5%) y concesiones (2%), donde un privado asume la gestión integral de la iluminación por periodos de 10 a 15 años. </w:t>
      </w:r>
    </w:p>
    <w:p w14:paraId="295AB7A8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Riesgo Tecnológico en APP:</w:t>
      </w:r>
      <w:r w:rsidRPr="000F2CF2">
        <w:rPr>
          <w:rFonts w:ascii="Times New Roman" w:hAnsi="Times New Roman" w:cs="Times New Roman"/>
          <w:sz w:val="22"/>
          <w:szCs w:val="22"/>
        </w:rPr>
        <w:t xml:space="preserve"> Contratos de APP prolongados pueden generar desactualización tecnológica debido al rápido avance en la eficiencia LED e </w:t>
      </w:r>
      <w:proofErr w:type="spellStart"/>
      <w:r w:rsidRPr="000F2CF2">
        <w:rPr>
          <w:rFonts w:ascii="Times New Roman" w:hAnsi="Times New Roman" w:cs="Times New Roman"/>
          <w:sz w:val="22"/>
          <w:szCs w:val="22"/>
        </w:rPr>
        <w:t>IoT</w:t>
      </w:r>
      <w:proofErr w:type="spellEnd"/>
    </w:p>
    <w:p w14:paraId="177F3F1C" w14:textId="4889D32B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  <w:sectPr w:rsidR="00195302" w:rsidRPr="000F2CF2" w:rsidSect="00661BAD">
          <w:headerReference w:type="default" r:id="rId16"/>
          <w:footerReference w:type="default" r:id="rId17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62D468AB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1FF7166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7A13F2D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247847A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2ADA6BF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71923BB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4612D43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B208F9B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1C8CCCD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692F624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67C1F4A" w14:textId="67E96B7C" w:rsidR="00195302" w:rsidRPr="00CB6F56" w:rsidRDefault="00195302" w:rsidP="00CB6F56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0" w:name="_Toc239801382"/>
      <w:r w:rsidRPr="00CB6F5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Sistemas de Iluminación Autónomos e Inteligentes Controlados por Microcontroladores</w:t>
      </w:r>
      <w:bookmarkEnd w:id="10"/>
    </w:p>
    <w:p w14:paraId="6E0034F7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  <w:sectPr w:rsidR="00195302" w:rsidRPr="000F2CF2" w:rsidSect="00661BAD">
          <w:headerReference w:type="default" r:id="rId18"/>
          <w:footerReference w:type="default" r:id="rId19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05866273" w14:textId="77777777" w:rsidR="00195302" w:rsidRPr="008A0FED" w:rsidRDefault="00195302" w:rsidP="008A0FED">
      <w:pPr>
        <w:pStyle w:val="Ttulo2"/>
        <w:jc w:val="both"/>
        <w:rPr>
          <w:rFonts w:cs="Times New Roman"/>
          <w:szCs w:val="28"/>
        </w:rPr>
      </w:pPr>
      <w:bookmarkStart w:id="11" w:name="_Toc239801383"/>
      <w:r w:rsidRPr="008A0FED">
        <w:rPr>
          <w:rFonts w:cs="Times New Roman"/>
          <w:szCs w:val="28"/>
        </w:rPr>
        <w:lastRenderedPageBreak/>
        <w:t>3.1 Arquitectura de hardware: Microcontroladores, sensores LDR y sensores de movimiento (PIR)</w:t>
      </w:r>
      <w:bookmarkEnd w:id="11"/>
    </w:p>
    <w:p w14:paraId="1C02191E" w14:textId="77777777" w:rsidR="008A0FED" w:rsidRPr="008A0FED" w:rsidRDefault="008A0FED" w:rsidP="008A0FED">
      <w:pPr>
        <w:jc w:val="both"/>
      </w:pPr>
    </w:p>
    <w:p w14:paraId="0F7B994B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El desarrollo de luminarias autónomas aisladas de la red requiere una arquitectura electrónica integrada para la gestión energética adaptativa. </w:t>
      </w:r>
    </w:p>
    <w:p w14:paraId="13B486FC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Unidad de Control:</w:t>
      </w:r>
      <w:r w:rsidRPr="000F2CF2">
        <w:rPr>
          <w:rFonts w:ascii="Times New Roman" w:hAnsi="Times New Roman" w:cs="Times New Roman"/>
          <w:sz w:val="22"/>
          <w:szCs w:val="22"/>
        </w:rPr>
        <w:t xml:space="preserve"> Microcontrolador comercial tipo Arduino Nano 3.0 operando a una tensión regulada de 6V, responsable de procesar las señales de entrada y ejecutar el algoritmo de decisión. </w:t>
      </w:r>
    </w:p>
    <w:p w14:paraId="0FAB2FB4" w14:textId="69C26516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 xml:space="preserve">Detección </w:t>
      </w:r>
      <w:proofErr w:type="spellStart"/>
      <w:r w:rsidRPr="000F2CF2">
        <w:rPr>
          <w:rFonts w:ascii="Times New Roman" w:hAnsi="Times New Roman" w:cs="Times New Roman"/>
          <w:b/>
          <w:bCs/>
          <w:sz w:val="22"/>
          <w:szCs w:val="22"/>
        </w:rPr>
        <w:t>Crespuscular</w:t>
      </w:r>
      <w:proofErr w:type="spellEnd"/>
      <w:r w:rsidRPr="000F2CF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F2CF2">
        <w:rPr>
          <w:rFonts w:ascii="Times New Roman" w:hAnsi="Times New Roman" w:cs="Times New Roman"/>
          <w:sz w:val="22"/>
          <w:szCs w:val="22"/>
        </w:rPr>
        <w:t xml:space="preserve"> Sensor tipo LDR acoplado a un circuito acondicionador que emite una señal de </w:t>
      </w:r>
      <m:oMath>
        <m:r>
          <w:rPr>
            <w:rFonts w:ascii="Cambria Math" w:hAnsi="Cambria Math" w:cs="Times New Roman"/>
            <w:sz w:val="22"/>
            <w:szCs w:val="22"/>
          </w:rPr>
          <m:t>0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 V</m:t>
        </m:r>
      </m:oMath>
      <w:r w:rsidRPr="000F2CF2">
        <w:rPr>
          <w:rFonts w:ascii="Times New Roman" w:hAnsi="Times New Roman" w:cs="Times New Roman"/>
          <w:sz w:val="22"/>
          <w:szCs w:val="22"/>
        </w:rPr>
        <w:t xml:space="preserve"> (noche) o </w:t>
      </w:r>
      <m:oMath>
        <m:r>
          <w:rPr>
            <w:rFonts w:ascii="Cambria Math" w:hAnsi="Cambria Math" w:cs="Times New Roman"/>
            <w:sz w:val="22"/>
            <w:szCs w:val="22"/>
          </w:rPr>
          <m:t>5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 V</m:t>
        </m:r>
      </m:oMath>
      <w:r w:rsidRPr="000F2CF2">
        <w:rPr>
          <w:rFonts w:ascii="Times New Roman" w:hAnsi="Times New Roman" w:cs="Times New Roman"/>
          <w:sz w:val="22"/>
          <w:szCs w:val="22"/>
        </w:rPr>
        <w:t xml:space="preserve"> (día) al microcontrolador. </w:t>
      </w:r>
    </w:p>
    <w:p w14:paraId="3551C66C" w14:textId="1A4AA12C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Detección de Movimiento: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Sensor infrarrojo pasivo (PIR) con rango de cobertura de hasta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180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∘</m:t>
            </m:r>
          </m:sup>
        </m:sSup>
      </m:oMath>
      <w:r w:rsidRPr="000F2CF2">
        <w:rPr>
          <w:rFonts w:ascii="Times New Roman" w:hAnsi="Times New Roman" w:cs="Times New Roman"/>
          <w:sz w:val="22"/>
          <w:szCs w:val="22"/>
        </w:rPr>
        <w:t xml:space="preserve"> para identificar el tránsito de peatones o vehículos. </w:t>
      </w:r>
    </w:p>
    <w:p w14:paraId="1D35FE02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Monitoreo Eléctrico: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Sensor de corriente basado en efecto Hall (ACS712) y divisor de tensión para calcular la potencia instantánea. </w:t>
      </w:r>
    </w:p>
    <w:p w14:paraId="3B5E499D" w14:textId="77777777" w:rsidR="00195302" w:rsidRPr="008A0FED" w:rsidRDefault="00195302" w:rsidP="008A0FED">
      <w:pPr>
        <w:pStyle w:val="Ttulo2"/>
        <w:jc w:val="both"/>
      </w:pPr>
      <w:bookmarkStart w:id="12" w:name="_Toc239801384"/>
      <w:r w:rsidRPr="008A0FED">
        <w:t>3.2 Algoritmos de control y lógica de conmutación eficiente</w:t>
      </w:r>
      <w:bookmarkEnd w:id="12"/>
    </w:p>
    <w:p w14:paraId="31DABD47" w14:textId="77777777" w:rsidR="008A0FED" w:rsidRPr="008A0FED" w:rsidRDefault="008A0FED" w:rsidP="008A0FED">
      <w:pPr>
        <w:jc w:val="both"/>
      </w:pPr>
    </w:p>
    <w:p w14:paraId="2B3AD4AE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El firmware programado en C++ optimiza el consumo energético ajustando la potencia luminosa según la demanda del entorno y el estado de la batería. </w:t>
      </w:r>
    </w:p>
    <w:p w14:paraId="0AFDE1B1" w14:textId="2EF3D7C9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Modo Reposo Nocturno: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Ante la ausencia de movimiento (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SM</m:t>
        </m:r>
        <m:r>
          <w:rPr>
            <w:rFonts w:ascii="Cambria Math" w:hAnsi="Cambria Math" w:cs="Times New Roman"/>
            <w:sz w:val="22"/>
            <w:szCs w:val="22"/>
          </w:rPr>
          <m:t>=0</m:t>
        </m:r>
      </m:oMath>
      <w:r w:rsidRPr="000F2CF2">
        <w:rPr>
          <w:rFonts w:ascii="Times New Roman" w:hAnsi="Times New Roman" w:cs="Times New Roman"/>
          <w:sz w:val="22"/>
          <w:szCs w:val="22"/>
        </w:rPr>
        <w:t xml:space="preserve">), el sistema mantiene activado un único módulo LED de 10W para iluminación de seguridad básica. </w:t>
      </w:r>
    </w:p>
    <w:p w14:paraId="48C80BE8" w14:textId="23DA725A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Modo Evento/Tránsito: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Al detectar movimiento (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SM</m:t>
        </m:r>
        <m:r>
          <w:rPr>
            <w:rFonts w:ascii="Cambria Math" w:hAnsi="Cambria Math" w:cs="Times New Roman"/>
            <w:sz w:val="22"/>
            <w:szCs w:val="22"/>
          </w:rPr>
          <m:t>=1</m:t>
        </m:r>
      </m:oMath>
      <w:r w:rsidRPr="000F2CF2">
        <w:rPr>
          <w:rFonts w:ascii="Times New Roman" w:hAnsi="Times New Roman" w:cs="Times New Roman"/>
          <w:sz w:val="22"/>
          <w:szCs w:val="22"/>
        </w:rPr>
        <w:t xml:space="preserve">), el sistema conmuta a potencia máxima activando los 3 módulos LED de 10W (30W totales) durante un intervalo determinado. </w:t>
      </w:r>
    </w:p>
    <w:p w14:paraId="3D7D9D7F" w14:textId="5189B9F9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Protección por Baja Carga:</w:t>
      </w:r>
      <w:r w:rsidRPr="000F2CF2">
        <w:rPr>
          <w:rFonts w:ascii="Times New Roman" w:hAnsi="Times New Roman" w:cs="Times New Roman"/>
          <w:sz w:val="22"/>
          <w:szCs w:val="22"/>
        </w:rPr>
        <w:t xml:space="preserve"> Si la potencia medida cae por debajo de los </w:t>
      </w:r>
      <m:oMath>
        <m:r>
          <w:rPr>
            <w:rFonts w:ascii="Cambria Math" w:hAnsi="Cambria Math" w:cs="Times New Roman"/>
            <w:sz w:val="22"/>
            <w:szCs w:val="22"/>
          </w:rPr>
          <m:t>10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 W</m:t>
        </m:r>
      </m:oMath>
      <w:r w:rsidRPr="000F2CF2">
        <w:rPr>
          <w:rFonts w:ascii="Times New Roman" w:hAnsi="Times New Roman" w:cs="Times New Roman"/>
          <w:sz w:val="22"/>
          <w:szCs w:val="22"/>
        </w:rPr>
        <w:t xml:space="preserve"> debido a la descarga de la batería, el sistema apaga los módulos para evitar daños en el acumulador. </w:t>
      </w:r>
    </w:p>
    <w:p w14:paraId="170FDF4A" w14:textId="77777777" w:rsidR="00195302" w:rsidRDefault="00195302" w:rsidP="008A0FED">
      <w:pPr>
        <w:pStyle w:val="Ttulo2"/>
        <w:jc w:val="both"/>
      </w:pPr>
      <w:bookmarkStart w:id="13" w:name="_Toc239801385"/>
      <w:r w:rsidRPr="000F2CF2">
        <w:t>3.3 Acondicionamiento térmico y almacenamiento de energía en acumuladores de Litio</w:t>
      </w:r>
      <w:bookmarkEnd w:id="13"/>
    </w:p>
    <w:p w14:paraId="11C2A636" w14:textId="77777777" w:rsidR="008A0FED" w:rsidRPr="008A0FED" w:rsidRDefault="008A0FED" w:rsidP="008A0FED">
      <w:pPr>
        <w:jc w:val="both"/>
      </w:pPr>
    </w:p>
    <w:p w14:paraId="56F5DEAA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lastRenderedPageBreak/>
        <w:t xml:space="preserve">Las baterías sufren una degradación severa en su vida útil y capacidad cuando operan a temperaturas extremas, requiriendo aislamiento técnico y gestión calórica. </w:t>
      </w:r>
    </w:p>
    <w:p w14:paraId="316C1638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Aprovechamiento Térmico Pasivo: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Gabinete con ventana superior de vidrio semitransparente y placa colectora negra que absorbe radiación solar durante el día para calentar el compartimento de la batería. </w:t>
      </w:r>
    </w:p>
    <w:p w14:paraId="1A9D42DB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Transferencia de Calor Residual:</w:t>
      </w:r>
      <w:r w:rsidRPr="000F2CF2">
        <w:rPr>
          <w:rFonts w:ascii="Times New Roman" w:hAnsi="Times New Roman" w:cs="Times New Roman"/>
          <w:sz w:val="22"/>
          <w:szCs w:val="22"/>
        </w:rPr>
        <w:t xml:space="preserve"> Durante la noche, el calor disipado por los módulos LED en funcionamiento se redirige internamente hacia la batería de litio. </w:t>
      </w:r>
    </w:p>
    <w:p w14:paraId="1E1A7D3D" w14:textId="7E096585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Acumuladores de Litio: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Uso de baterías de litio (ej. </w:t>
      </w:r>
      <m:oMath>
        <m:r>
          <w:rPr>
            <w:rFonts w:ascii="Cambria Math" w:hAnsi="Cambria Math" w:cs="Times New Roman"/>
            <w:sz w:val="22"/>
            <w:szCs w:val="22"/>
          </w:rPr>
          <m:t>12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 V</m:t>
        </m:r>
      </m:oMath>
      <w:r w:rsidRPr="000F2CF2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35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 Ah</m:t>
        </m:r>
      </m:oMath>
      <w:r w:rsidRPr="000F2CF2">
        <w:rPr>
          <w:rFonts w:ascii="Times New Roman" w:hAnsi="Times New Roman" w:cs="Times New Roman"/>
          <w:sz w:val="22"/>
          <w:szCs w:val="22"/>
        </w:rPr>
        <w:t xml:space="preserve">) debido a su elevada eficiencia de carga/descarga y menor peso en comparación con baterías de plomo-ácido. </w:t>
      </w:r>
    </w:p>
    <w:p w14:paraId="7943510B" w14:textId="77777777" w:rsidR="00195302" w:rsidRDefault="00195302" w:rsidP="008A0FED">
      <w:pPr>
        <w:pStyle w:val="Ttulo2"/>
        <w:jc w:val="both"/>
      </w:pPr>
      <w:bookmarkStart w:id="14" w:name="_Toc239801386"/>
      <w:r w:rsidRPr="000F2CF2">
        <w:t>3.4 Modelado matemático para el dimensionamiento fotovoltaico y capacidad de baterías</w:t>
      </w:r>
      <w:bookmarkEnd w:id="14"/>
    </w:p>
    <w:p w14:paraId="09E5CB17" w14:textId="77777777" w:rsidR="008A0FED" w:rsidRPr="008A0FED" w:rsidRDefault="008A0FED" w:rsidP="008A0FED">
      <w:pPr>
        <w:jc w:val="both"/>
      </w:pPr>
    </w:p>
    <w:p w14:paraId="26890291" w14:textId="77777777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El cálculo de componentes para sistemas de iluminación autónomos garantiza el suministro continuo bajo condiciones desfavorables. </w:t>
      </w:r>
    </w:p>
    <w:p w14:paraId="713439FB" w14:textId="77F0D86E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>La capacidad mínima de la batería (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sub>
        </m:sSub>
      </m:oMath>
      <w:r w:rsidRPr="000F2CF2">
        <w:rPr>
          <w:rFonts w:ascii="Times New Roman" w:hAnsi="Times New Roman" w:cs="Times New Roman"/>
          <w:sz w:val="22"/>
          <w:szCs w:val="22"/>
        </w:rPr>
        <w:t xml:space="preserve">, expresada en Ampere-hora) se determina mediante la ecuación de consumo diario y profundidad de descarga: </w:t>
      </w:r>
    </w:p>
    <w:p w14:paraId="7BA1530F" w14:textId="2AC5D60D" w:rsidR="00195302" w:rsidRPr="000F2CF2" w:rsidRDefault="006C0093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Consumo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V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f</m:t>
                  </m:r>
                </m:sub>
              </m:sSub>
            </m:den>
          </m:f>
        </m:oMath>
      </m:oMathPara>
    </w:p>
    <w:p w14:paraId="76FC5078" w14:textId="167EABC3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Donde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Consumo</m:t>
        </m:r>
      </m:oMath>
      <w:r w:rsidRPr="000F2CF2">
        <w:rPr>
          <w:rFonts w:ascii="Times New Roman" w:hAnsi="Times New Roman" w:cs="Times New Roman"/>
          <w:sz w:val="22"/>
          <w:szCs w:val="22"/>
        </w:rPr>
        <w:t xml:space="preserve"> representa la energía diaria requerida (</w:t>
      </w:r>
      <m:oMath>
        <m:r>
          <w:rPr>
            <w:rFonts w:ascii="Cambria Math" w:hAnsi="Cambria Math" w:cs="Times New Roman"/>
            <w:sz w:val="22"/>
            <w:szCs w:val="22"/>
          </w:rPr>
          <m:t>254.4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 Wh/día</m:t>
        </m:r>
      </m:oMath>
      <w:r w:rsidRPr="000F2CF2">
        <w:rPr>
          <w:rFonts w:ascii="Times New Roman" w:hAnsi="Times New Roman" w:cs="Times New Roman"/>
          <w:sz w:val="22"/>
          <w:szCs w:val="22"/>
        </w:rPr>
        <w:t xml:space="preserve"> en el escenario de máxima demanda), </w:t>
      </w:r>
      <m:oMath>
        <m:r>
          <w:rPr>
            <w:rFonts w:ascii="Cambria Math" w:hAnsi="Cambria Math" w:cs="Times New Roman"/>
            <w:sz w:val="22"/>
            <w:szCs w:val="22"/>
          </w:rPr>
          <m:t>V</m:t>
        </m:r>
      </m:oMath>
      <w:r w:rsidRPr="000F2CF2">
        <w:rPr>
          <w:rFonts w:ascii="Times New Roman" w:hAnsi="Times New Roman" w:cs="Times New Roman"/>
          <w:sz w:val="22"/>
          <w:szCs w:val="22"/>
        </w:rPr>
        <w:t xml:space="preserve"> es la tensión nominal del sistema (</w:t>
      </w:r>
      <m:oMath>
        <m:r>
          <w:rPr>
            <w:rFonts w:ascii="Cambria Math" w:hAnsi="Cambria Math" w:cs="Times New Roman"/>
            <w:sz w:val="22"/>
            <w:szCs w:val="22"/>
          </w:rPr>
          <m:t>12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 V</m:t>
        </m:r>
      </m:oMath>
      <w:r w:rsidRPr="000F2CF2">
        <w:rPr>
          <w:rFonts w:ascii="Times New Roman" w:hAnsi="Times New Roman" w:cs="Times New Roman"/>
          <w:sz w:val="22"/>
          <w:szCs w:val="22"/>
        </w:rPr>
        <w:t xml:space="preserve">) y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</m:sub>
        </m:sSub>
      </m:oMath>
      <w:r w:rsidRPr="000F2CF2">
        <w:rPr>
          <w:rFonts w:ascii="Times New Roman" w:hAnsi="Times New Roman" w:cs="Times New Roman"/>
          <w:sz w:val="22"/>
          <w:szCs w:val="22"/>
        </w:rPr>
        <w:t xml:space="preserve"> es el factor de profundidad de descarga permitido (0.6 para proteger el acumulador). </w:t>
      </w:r>
    </w:p>
    <w:p w14:paraId="48A80CB2" w14:textId="651C810F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Cúpula de Capacidad:</m:t>
          </m:r>
          <m:r>
            <w:rPr>
              <w:rFonts w:ascii="Cambria Math" w:hAnsi="Cambria Math" w:cs="Times New Roman"/>
              <w:i/>
              <w:sz w:val="22"/>
              <w:szCs w:val="22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254.4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 Wh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 V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⋅0.6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=35.33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 Ah</m:t>
          </m:r>
        </m:oMath>
      </m:oMathPara>
    </w:p>
    <w:p w14:paraId="71FBE14D" w14:textId="12B479DE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>Para el cálculo del regulador de carga, la intensidad máxima aportada por el panel fotovoltaico (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mp</m:t>
            </m:r>
          </m:sub>
        </m:sSub>
      </m:oMath>
      <w:r w:rsidRPr="000F2CF2">
        <w:rPr>
          <w:rFonts w:ascii="Times New Roman" w:hAnsi="Times New Roman" w:cs="Times New Roman"/>
          <w:sz w:val="22"/>
          <w:szCs w:val="22"/>
        </w:rPr>
        <w:t xml:space="preserve">) se calcula como: </w:t>
      </w:r>
    </w:p>
    <w:p w14:paraId="66FF429A" w14:textId="15C8FEC6" w:rsidR="00195302" w:rsidRPr="000F2CF2" w:rsidRDefault="006C0093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mp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Nominal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mp</m:t>
                  </m:r>
                </m:sub>
              </m:sSub>
            </m:den>
          </m:f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50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 W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17.9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 V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≈2.79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 A</m:t>
          </m:r>
        </m:oMath>
      </m:oMathPara>
    </w:p>
    <w:p w14:paraId="69AB030E" w14:textId="47F84A06" w:rsidR="00195302" w:rsidRPr="000F2CF2" w:rsidRDefault="00195302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Por tanto, se dimensiona un regulador de carga comercial PWM con capacidad mínima de </w:t>
      </w:r>
      <m:oMath>
        <m:r>
          <w:rPr>
            <w:rFonts w:ascii="Cambria Math" w:hAnsi="Cambria Math" w:cs="Times New Roman"/>
            <w:sz w:val="22"/>
            <w:szCs w:val="22"/>
          </w:rPr>
          <m:t>3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 A</m:t>
        </m:r>
      </m:oMath>
      <w:r w:rsidRPr="000F2CF2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771555FB" w14:textId="77777777" w:rsidR="00195302" w:rsidRPr="000F2CF2" w:rsidRDefault="00195302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  <w:sectPr w:rsidR="00195302" w:rsidRPr="000F2CF2" w:rsidSect="00661BAD">
          <w:headerReference w:type="default" r:id="rId20"/>
          <w:footerReference w:type="default" r:id="rId21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6A4A877A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C999625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FC83F6E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A75EA6D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D7F72A1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00A5CC7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17EDE24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2EDAA6D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18903B2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93687B1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BD8E740" w14:textId="0BCC571C" w:rsidR="004E4744" w:rsidRPr="00CB6F56" w:rsidRDefault="004E4744" w:rsidP="00CB6F56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5" w:name="_Toc239801387"/>
      <w:r w:rsidRPr="00CB6F5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Diseño e Integración de Sistemas de Seguridad Pasiva en Redes IP</w:t>
      </w:r>
      <w:bookmarkEnd w:id="15"/>
    </w:p>
    <w:p w14:paraId="51EF9ACB" w14:textId="77777777" w:rsidR="00661BAD" w:rsidRPr="000F2CF2" w:rsidRDefault="00661BAD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074A07F4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  <w:sectPr w:rsidR="004E4744" w:rsidRPr="000F2CF2" w:rsidSect="00661BAD">
          <w:headerReference w:type="default" r:id="rId22"/>
          <w:footerReference w:type="default" r:id="rId23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766D32B2" w14:textId="77777777" w:rsidR="004E4744" w:rsidRDefault="004E4744" w:rsidP="008A0FED">
      <w:pPr>
        <w:pStyle w:val="Ttulo2"/>
      </w:pPr>
      <w:bookmarkStart w:id="16" w:name="_Toc239801388"/>
      <w:r w:rsidRPr="000F2CF2">
        <w:lastRenderedPageBreak/>
        <w:t xml:space="preserve">4.1 Subsistema de protección </w:t>
      </w:r>
      <w:proofErr w:type="spellStart"/>
      <w:r w:rsidRPr="000F2CF2">
        <w:t>anti-intrusión</w:t>
      </w:r>
      <w:proofErr w:type="spellEnd"/>
      <w:r w:rsidRPr="000F2CF2">
        <w:t xml:space="preserve"> y grados de seguridad</w:t>
      </w:r>
      <w:bookmarkEnd w:id="16"/>
    </w:p>
    <w:p w14:paraId="0328A5D7" w14:textId="77777777" w:rsidR="008A0FED" w:rsidRPr="008A0FED" w:rsidRDefault="008A0FED" w:rsidP="008A0FED">
      <w:pPr>
        <w:jc w:val="both"/>
      </w:pPr>
    </w:p>
    <w:p w14:paraId="563ECACD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Los sistemas de detección de intrusión supervisan puntos vulnerables de la infraestructura mediante barreras físicas y sensores electrónicos conectados en red. </w:t>
      </w:r>
    </w:p>
    <w:p w14:paraId="41F7094B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Clasificación por Grados:</w:t>
      </w:r>
      <w:r w:rsidRPr="000F2CF2">
        <w:rPr>
          <w:rFonts w:ascii="Times New Roman" w:hAnsi="Times New Roman" w:cs="Times New Roman"/>
          <w:sz w:val="22"/>
          <w:szCs w:val="22"/>
        </w:rPr>
        <w:t xml:space="preserve"> Los edificios comerciales e infraestructuras críticas deben cumplir con Grado 3 de seguridad, requiriendo supervisión constante de líneas y sistemas </w:t>
      </w:r>
      <w:proofErr w:type="spellStart"/>
      <w:r w:rsidRPr="000F2CF2">
        <w:rPr>
          <w:rFonts w:ascii="Times New Roman" w:hAnsi="Times New Roman" w:cs="Times New Roman"/>
          <w:sz w:val="22"/>
          <w:szCs w:val="22"/>
        </w:rPr>
        <w:t>anti-enmascaramiento</w:t>
      </w:r>
      <w:proofErr w:type="spellEnd"/>
      <w:r w:rsidRPr="000F2CF2">
        <w:rPr>
          <w:rFonts w:ascii="Times New Roman" w:hAnsi="Times New Roman" w:cs="Times New Roman"/>
          <w:sz w:val="22"/>
          <w:szCs w:val="22"/>
        </w:rPr>
        <w:t xml:space="preserve"> en detectores. </w:t>
      </w:r>
    </w:p>
    <w:p w14:paraId="3D2C4E86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Tipología de Sensores:</w:t>
      </w:r>
      <w:r w:rsidRPr="000F2CF2">
        <w:rPr>
          <w:rFonts w:ascii="Times New Roman" w:hAnsi="Times New Roman" w:cs="Times New Roman"/>
          <w:sz w:val="22"/>
          <w:szCs w:val="22"/>
        </w:rPr>
        <w:t xml:space="preserve"> Empleo de contactos magnéticos en accesos, detectores infrarrojos pasivos (PIR) dobles, sensores microfónicos de rotura de cristal y barreras perimetrales. </w:t>
      </w:r>
    </w:p>
    <w:p w14:paraId="67CD4112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Respaldo de Energía:</w:t>
      </w:r>
      <w:r w:rsidRPr="000F2CF2">
        <w:rPr>
          <w:rFonts w:ascii="Times New Roman" w:hAnsi="Times New Roman" w:cs="Times New Roman"/>
          <w:sz w:val="22"/>
          <w:szCs w:val="22"/>
        </w:rPr>
        <w:t xml:space="preserve"> Fuentes de alimentación auxiliares con baterías de respaldo dimensionadas para mantener la operación por al menos 60 horas en estado de reposo. </w:t>
      </w:r>
    </w:p>
    <w:p w14:paraId="484639F0" w14:textId="77777777" w:rsidR="004E4744" w:rsidRPr="008A0FED" w:rsidRDefault="004E4744" w:rsidP="008A0FED">
      <w:pPr>
        <w:spacing w:afterLines="120" w:after="288" w:line="360" w:lineRule="auto"/>
        <w:jc w:val="both"/>
        <w:rPr>
          <w:rStyle w:val="Ttulo2Car"/>
        </w:rPr>
      </w:pPr>
      <w:bookmarkStart w:id="17" w:name="_Toc239801389"/>
      <w:r w:rsidRPr="008A0FED">
        <w:rPr>
          <w:rStyle w:val="Ttulo2Car"/>
        </w:rPr>
        <w:t>4.2 Subsistema de Circuito Cerrado de Televisión (CCTV) e infraestructura IP</w:t>
      </w:r>
      <w:bookmarkEnd w:id="17"/>
    </w:p>
    <w:p w14:paraId="49298354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El CCTV sobre protocolo IP permite la captura, transmisión y análisis de video en tiempo real con alta resolución. </w:t>
      </w:r>
    </w:p>
    <w:p w14:paraId="58A010DF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Dispositivos de Captura:</w:t>
      </w:r>
      <w:r w:rsidRPr="000F2CF2">
        <w:rPr>
          <w:rFonts w:ascii="Times New Roman" w:hAnsi="Times New Roman" w:cs="Times New Roman"/>
          <w:sz w:val="22"/>
          <w:szCs w:val="22"/>
        </w:rPr>
        <w:t xml:space="preserve"> Cámaras tipo Domo/</w:t>
      </w:r>
      <w:proofErr w:type="spellStart"/>
      <w:r w:rsidRPr="000F2CF2">
        <w:rPr>
          <w:rFonts w:ascii="Times New Roman" w:hAnsi="Times New Roman" w:cs="Times New Roman"/>
          <w:sz w:val="22"/>
          <w:szCs w:val="22"/>
        </w:rPr>
        <w:t>Minidomo</w:t>
      </w:r>
      <w:proofErr w:type="spellEnd"/>
      <w:r w:rsidRPr="000F2CF2">
        <w:rPr>
          <w:rFonts w:ascii="Times New Roman" w:hAnsi="Times New Roman" w:cs="Times New Roman"/>
          <w:sz w:val="22"/>
          <w:szCs w:val="22"/>
        </w:rPr>
        <w:t xml:space="preserve"> para áreas internas y cámaras Compactas con carcasa antivandálica e iluminación infrarroja para perímetros exteriores. </w:t>
      </w:r>
    </w:p>
    <w:p w14:paraId="0FB40F4F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Almacenamiento Grabador (NVR):</w:t>
      </w:r>
      <w:r w:rsidRPr="000F2CF2">
        <w:rPr>
          <w:rFonts w:ascii="Times New Roman" w:hAnsi="Times New Roman" w:cs="Times New Roman"/>
          <w:sz w:val="22"/>
          <w:szCs w:val="22"/>
        </w:rPr>
        <w:t xml:space="preserve"> Servidores de grabación masiva en red con arreglos de discos en configuraciones RAID para garantizar la redundancia de datos. </w:t>
      </w:r>
    </w:p>
    <w:p w14:paraId="09BC0A71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Cableado de Video: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Uso de cable UTP/FTP Categoría 6 o enlaces de fibra óptica monomodo para el transporte de flujos de video sin degradación de ancho de banda. </w:t>
      </w:r>
    </w:p>
    <w:p w14:paraId="0DE94222" w14:textId="77777777" w:rsidR="004E4744" w:rsidRDefault="004E4744" w:rsidP="008A0FED">
      <w:pPr>
        <w:pStyle w:val="Ttulo2"/>
        <w:jc w:val="both"/>
      </w:pPr>
      <w:bookmarkStart w:id="18" w:name="_Toc239801390"/>
      <w:r w:rsidRPr="000F2CF2">
        <w:t>4.3 Subsistema de control de accesos y sectorización de áreas</w:t>
      </w:r>
      <w:bookmarkEnd w:id="18"/>
    </w:p>
    <w:p w14:paraId="7F3B4AD1" w14:textId="77777777" w:rsidR="008A0FED" w:rsidRPr="008A0FED" w:rsidRDefault="008A0FED" w:rsidP="008A0FED">
      <w:pPr>
        <w:jc w:val="both"/>
      </w:pPr>
    </w:p>
    <w:p w14:paraId="489AC4DA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El control de accesos regula el tránsito de personal y visitantes mediante restricciones físicas y lógica de permisos por perfil. </w:t>
      </w:r>
    </w:p>
    <w:p w14:paraId="747EC95E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lastRenderedPageBreak/>
        <w:t>Elementos de Bloqueo: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F2CF2">
        <w:rPr>
          <w:rFonts w:ascii="Times New Roman" w:hAnsi="Times New Roman" w:cs="Times New Roman"/>
          <w:sz w:val="22"/>
          <w:szCs w:val="22"/>
        </w:rPr>
        <w:t>Electrocerraduras</w:t>
      </w:r>
      <w:proofErr w:type="spellEnd"/>
      <w:r w:rsidRPr="000F2CF2">
        <w:rPr>
          <w:rFonts w:ascii="Times New Roman" w:hAnsi="Times New Roman" w:cs="Times New Roman"/>
          <w:sz w:val="22"/>
          <w:szCs w:val="22"/>
        </w:rPr>
        <w:t xml:space="preserve">, retenedores electromagnéticos y torniquetes supervisados en las puertas de comunicación vertical y áreas técnicas. </w:t>
      </w:r>
    </w:p>
    <w:p w14:paraId="3F0003C0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Lectores y Credenciales:</w:t>
      </w:r>
      <w:r w:rsidRPr="000F2CF2">
        <w:rPr>
          <w:rFonts w:ascii="Times New Roman" w:hAnsi="Times New Roman" w:cs="Times New Roman"/>
          <w:sz w:val="22"/>
          <w:szCs w:val="22"/>
        </w:rPr>
        <w:t xml:space="preserve"> Lectores de tarjetas de proximidad RFID/</w:t>
      </w:r>
      <w:proofErr w:type="spellStart"/>
      <w:r w:rsidRPr="000F2CF2">
        <w:rPr>
          <w:rFonts w:ascii="Times New Roman" w:hAnsi="Times New Roman" w:cs="Times New Roman"/>
          <w:sz w:val="22"/>
          <w:szCs w:val="22"/>
        </w:rPr>
        <w:t>Mifare</w:t>
      </w:r>
      <w:proofErr w:type="spellEnd"/>
      <w:r w:rsidRPr="000F2CF2">
        <w:rPr>
          <w:rFonts w:ascii="Times New Roman" w:hAnsi="Times New Roman" w:cs="Times New Roman"/>
          <w:sz w:val="22"/>
          <w:szCs w:val="22"/>
        </w:rPr>
        <w:t xml:space="preserve"> instalados en accesos principales y zonas de alta seguridad. </w:t>
      </w:r>
    </w:p>
    <w:p w14:paraId="7E9CA61A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Unidad Central de Procesamiento: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Controladores IP dedicados que gestionan la base de datos de usuarios y mantienen la operatividad local ante caídas de la red central. </w:t>
      </w:r>
    </w:p>
    <w:p w14:paraId="5A9D2CFA" w14:textId="77777777" w:rsidR="004E4744" w:rsidRDefault="004E4744" w:rsidP="008A0FED">
      <w:pPr>
        <w:pStyle w:val="Ttulo2"/>
        <w:jc w:val="both"/>
      </w:pPr>
      <w:bookmarkStart w:id="19" w:name="_Toc239801391"/>
      <w:r w:rsidRPr="000F2CF2">
        <w:t>4.4 Subsistema de detección de incendios (PCI) y monitoreo centralizado</w:t>
      </w:r>
      <w:bookmarkEnd w:id="19"/>
    </w:p>
    <w:p w14:paraId="45425CDC" w14:textId="77777777" w:rsidR="008A0FED" w:rsidRPr="008A0FED" w:rsidRDefault="008A0FED" w:rsidP="008A0FED">
      <w:pPr>
        <w:jc w:val="both"/>
      </w:pPr>
    </w:p>
    <w:p w14:paraId="5AD364A3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El sistema de Protección Contra Incendios (PCI) proporciona alertas tempranas y localización precisa de eventos térmicos o de combustión. </w:t>
      </w:r>
    </w:p>
    <w:p w14:paraId="7AC897AE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Centrales Analógicas / Direccionables:</w:t>
      </w:r>
      <w:r w:rsidRPr="000F2CF2">
        <w:rPr>
          <w:rFonts w:ascii="Times New Roman" w:hAnsi="Times New Roman" w:cs="Times New Roman"/>
          <w:sz w:val="22"/>
          <w:szCs w:val="22"/>
        </w:rPr>
        <w:t xml:space="preserve"> Centrales de detección que identifican de forma unívoca cada sensor o pulsador instalado en el bucle. </w:t>
      </w:r>
    </w:p>
    <w:p w14:paraId="7C6FDF93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Elementos de Detección:</w:t>
      </w:r>
      <w:r w:rsidRPr="000F2CF2">
        <w:rPr>
          <w:rFonts w:ascii="Times New Roman" w:hAnsi="Times New Roman" w:cs="Times New Roman"/>
          <w:sz w:val="22"/>
          <w:szCs w:val="22"/>
        </w:rPr>
        <w:t xml:space="preserve"> Detectores ópticos de humo para áreas administrativas y detectores termovelocimétricos para espacios con presencia de polvo o vapores. </w:t>
      </w:r>
    </w:p>
    <w:p w14:paraId="6AE103DC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Certificación:</w:t>
      </w:r>
      <w:r w:rsidRPr="000F2CF2">
        <w:rPr>
          <w:rFonts w:ascii="Times New Roman" w:hAnsi="Times New Roman" w:cs="Times New Roman"/>
          <w:sz w:val="22"/>
          <w:szCs w:val="22"/>
        </w:rPr>
        <w:t xml:space="preserve"> Todos los equipos y paneles de PCI deben contar con certificación bajo la norma europea EN 54. </w:t>
      </w:r>
    </w:p>
    <w:p w14:paraId="555DF9B2" w14:textId="77777777" w:rsidR="004E4744" w:rsidRDefault="004E4744" w:rsidP="008A0FED">
      <w:pPr>
        <w:pStyle w:val="Ttulo2"/>
        <w:jc w:val="both"/>
      </w:pPr>
      <w:bookmarkStart w:id="20" w:name="_Toc239801392"/>
      <w:r w:rsidRPr="000F2CF2">
        <w:t>4.5 Protocolos de mantenimiento preventivo y correctivo de la infraestructura de seguridad</w:t>
      </w:r>
      <w:bookmarkEnd w:id="20"/>
    </w:p>
    <w:p w14:paraId="0882CD91" w14:textId="77777777" w:rsidR="008A0FED" w:rsidRPr="008A0FED" w:rsidRDefault="008A0FED" w:rsidP="008A0FED">
      <w:pPr>
        <w:jc w:val="both"/>
      </w:pPr>
    </w:p>
    <w:p w14:paraId="1140F55D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La confiabilidad operativa de las instalaciones de seguridad requiere planes de mantenimiento normados de carácter periódico. </w:t>
      </w:r>
    </w:p>
    <w:p w14:paraId="0411A025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Mantenimiento Preventivo: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Revisiones trimestrales y semestrales según normativas de seguridad pasiva para verificar el estado de baterías, limpieza de lentes y prueba de zonas de alarma. </w:t>
      </w:r>
    </w:p>
    <w:p w14:paraId="33395720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Mantenimiento Correctivo: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Protocolo de atención a fallas con tiempos de respuesta tipificados contractualmente (SLA) para la sustitución de componentes averiados. </w:t>
      </w:r>
    </w:p>
    <w:p w14:paraId="39D03C7E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lastRenderedPageBreak/>
        <w:t>Registro de Bitácoras:</w:t>
      </w:r>
      <w:r w:rsidRPr="000F2CF2">
        <w:rPr>
          <w:rFonts w:ascii="Times New Roman" w:hAnsi="Times New Roman" w:cs="Times New Roman"/>
          <w:sz w:val="22"/>
          <w:szCs w:val="22"/>
        </w:rPr>
        <w:t xml:space="preserve"> Formalización de partes de revisión firmados y almacenamiento de registros digitales de eventos.</w:t>
      </w:r>
    </w:p>
    <w:p w14:paraId="4D944760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  <w:sectPr w:rsidR="004E4744" w:rsidRPr="000F2CF2" w:rsidSect="00661BAD">
          <w:headerReference w:type="default" r:id="rId24"/>
          <w:footerReference w:type="default" r:id="rId25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018A6143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0331BF0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04B4BE5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2DFED2B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FEE0F83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C008571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DFC339B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B441D03" w14:textId="545A0EF2" w:rsidR="004E4744" w:rsidRPr="00CB6F56" w:rsidRDefault="004E4744" w:rsidP="00CB6F56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1" w:name="_Toc239801393"/>
      <w:r w:rsidRPr="00CB6F5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Plan de Implementación Integral, Infraestructura Física y Viabilidad Técnica para IRTRA Petapa</w:t>
      </w:r>
      <w:bookmarkEnd w:id="21"/>
    </w:p>
    <w:p w14:paraId="284B364F" w14:textId="77777777" w:rsidR="004E4744" w:rsidRPr="000F2CF2" w:rsidRDefault="004E4744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  <w:sectPr w:rsidR="004E4744" w:rsidRPr="000F2CF2" w:rsidSect="004E4744">
          <w:headerReference w:type="default" r:id="rId26"/>
          <w:footerReference w:type="default" r:id="rId27"/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6A12403D" w14:textId="77777777" w:rsidR="004E4744" w:rsidRDefault="004E4744" w:rsidP="008A0FED">
      <w:pPr>
        <w:pStyle w:val="Ttulo2"/>
        <w:jc w:val="both"/>
      </w:pPr>
      <w:bookmarkStart w:id="22" w:name="_Toc239801394"/>
      <w:r w:rsidRPr="000F2CF2">
        <w:lastRenderedPageBreak/>
        <w:t>5.1 Integración de infraestructuras eléctricas, canalizaciones y cableado estructurado</w:t>
      </w:r>
      <w:bookmarkEnd w:id="22"/>
    </w:p>
    <w:p w14:paraId="0C5C0921" w14:textId="77777777" w:rsidR="008A0FED" w:rsidRPr="008A0FED" w:rsidRDefault="008A0FED" w:rsidP="008A0FED">
      <w:pPr>
        <w:jc w:val="both"/>
      </w:pPr>
    </w:p>
    <w:p w14:paraId="59374E08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La viabilidad técnica de la modernización energética y de seguridad depende del dimensionamiento adecuado de la red eléctrica de distribución interna. </w:t>
      </w:r>
    </w:p>
    <w:p w14:paraId="39B97BFF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Red de Distribución:</w:t>
      </w:r>
      <w:r w:rsidRPr="000F2CF2">
        <w:rPr>
          <w:rFonts w:ascii="Times New Roman" w:hAnsi="Times New Roman" w:cs="Times New Roman"/>
          <w:sz w:val="22"/>
          <w:szCs w:val="22"/>
        </w:rPr>
        <w:t xml:space="preserve"> Instalación de circuitos eléctricos independientes para alumbrado y fuerza, evitando interferencias armónicas en los sistemas de telemetría. </w:t>
      </w:r>
    </w:p>
    <w:p w14:paraId="1BD6BF7A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Canalizaciones:</w:t>
      </w:r>
      <w:r w:rsidRPr="000F2CF2">
        <w:rPr>
          <w:rFonts w:ascii="Times New Roman" w:hAnsi="Times New Roman" w:cs="Times New Roman"/>
          <w:sz w:val="22"/>
          <w:szCs w:val="22"/>
        </w:rPr>
        <w:t xml:space="preserve"> Bandejas </w:t>
      </w:r>
      <w:proofErr w:type="spellStart"/>
      <w:r w:rsidRPr="000F2CF2">
        <w:rPr>
          <w:rFonts w:ascii="Times New Roman" w:hAnsi="Times New Roman" w:cs="Times New Roman"/>
          <w:sz w:val="22"/>
          <w:szCs w:val="22"/>
        </w:rPr>
        <w:t>portacables</w:t>
      </w:r>
      <w:proofErr w:type="spellEnd"/>
      <w:r w:rsidRPr="000F2CF2">
        <w:rPr>
          <w:rFonts w:ascii="Times New Roman" w:hAnsi="Times New Roman" w:cs="Times New Roman"/>
          <w:sz w:val="22"/>
          <w:szCs w:val="22"/>
        </w:rPr>
        <w:t xml:space="preserve"> tipo escalera para troncales principales y tubería </w:t>
      </w:r>
      <w:proofErr w:type="spellStart"/>
      <w:r w:rsidRPr="000F2CF2">
        <w:rPr>
          <w:rFonts w:ascii="Times New Roman" w:hAnsi="Times New Roman" w:cs="Times New Roman"/>
          <w:sz w:val="22"/>
          <w:szCs w:val="22"/>
        </w:rPr>
        <w:t>conduit</w:t>
      </w:r>
      <w:proofErr w:type="spellEnd"/>
      <w:r w:rsidRPr="000F2CF2">
        <w:rPr>
          <w:rFonts w:ascii="Times New Roman" w:hAnsi="Times New Roman" w:cs="Times New Roman"/>
          <w:sz w:val="22"/>
          <w:szCs w:val="22"/>
        </w:rPr>
        <w:t xml:space="preserve"> de acero galvanizado para tramos expuestos. </w:t>
      </w:r>
    </w:p>
    <w:p w14:paraId="187C7CFF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Sección de Cableado: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Especificación de cables libres de halógenos y con resistencia al fuego (AS) en bucles de detección de incendios. </w:t>
      </w:r>
    </w:p>
    <w:p w14:paraId="7AD3F5A9" w14:textId="77777777" w:rsidR="004E4744" w:rsidRDefault="004E4744" w:rsidP="008A0FED">
      <w:pPr>
        <w:pStyle w:val="Ttulo2"/>
        <w:jc w:val="both"/>
      </w:pPr>
      <w:bookmarkStart w:id="23" w:name="_Toc239801395"/>
      <w:r w:rsidRPr="000F2CF2">
        <w:t>5.2 Evaluación del impacto del flujo de visitantes en la demanda energética (Energía por visitante)</w:t>
      </w:r>
      <w:bookmarkEnd w:id="23"/>
    </w:p>
    <w:p w14:paraId="05864DA9" w14:textId="77777777" w:rsidR="008A0FED" w:rsidRPr="008A0FED" w:rsidRDefault="008A0FED" w:rsidP="008A0FED">
      <w:pPr>
        <w:jc w:val="both"/>
      </w:pPr>
    </w:p>
    <w:p w14:paraId="308448FC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El consumo energético en parques temáticos presenta una componente fija (cargas de proceso y atracción) y una componente variable vinculada a la afluencia de público. </w:t>
      </w:r>
    </w:p>
    <w:p w14:paraId="5DF0B74C" w14:textId="7E15E3D3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Métrica de Desempeño: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El consumo por visitante varía típicamente entre </w:t>
      </w:r>
      <m:oMath>
        <m:r>
          <w:rPr>
            <w:rFonts w:ascii="Cambria Math" w:hAnsi="Cambria Math" w:cs="Times New Roman"/>
            <w:sz w:val="22"/>
            <w:szCs w:val="22"/>
          </w:rPr>
          <m:t>30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 kBTU</m:t>
        </m:r>
      </m:oMath>
      <w:r w:rsidRPr="000F2CF2">
        <w:rPr>
          <w:rFonts w:ascii="Times New Roman" w:hAnsi="Times New Roman" w:cs="Times New Roman"/>
          <w:sz w:val="22"/>
          <w:szCs w:val="22"/>
        </w:rPr>
        <w:t xml:space="preserve"> y </w:t>
      </w:r>
      <m:oMath>
        <m:r>
          <w:rPr>
            <w:rFonts w:ascii="Cambria Math" w:hAnsi="Cambria Math" w:cs="Times New Roman"/>
            <w:sz w:val="22"/>
            <w:szCs w:val="22"/>
          </w:rPr>
          <m:t>110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 kBTU</m:t>
        </m:r>
      </m:oMath>
      <w:r w:rsidRPr="000F2CF2">
        <w:rPr>
          <w:rFonts w:ascii="Times New Roman" w:hAnsi="Times New Roman" w:cs="Times New Roman"/>
          <w:sz w:val="22"/>
          <w:szCs w:val="22"/>
        </w:rPr>
        <w:t xml:space="preserve"> por asistente al año, registrándose las demandas más elevadas en parques con atracciones acuáticas. </w:t>
      </w:r>
    </w:p>
    <w:p w14:paraId="76B4D0F2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Análisis Correlacional:</w:t>
      </w:r>
      <w:r w:rsidRPr="000F2CF2">
        <w:rPr>
          <w:rFonts w:ascii="Times New Roman" w:hAnsi="Times New Roman" w:cs="Times New Roman"/>
          <w:sz w:val="22"/>
          <w:szCs w:val="22"/>
        </w:rPr>
        <w:t xml:space="preserve"> El consumo eléctrico muestra correlaciones significativas con los Días Grado de Refrigeración (CDD) debido a las cargas de climatización, mientras que el gas natural se vincula predominantemente a la preparación de alimentos. </w:t>
      </w:r>
    </w:p>
    <w:p w14:paraId="11C0DB2A" w14:textId="77777777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lastRenderedPageBreak/>
        <w:t>Cargas de Proceso: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El bombeo continuo de agua y la operación de atracciones representan el mayor porcentaje de la demanda eléctrica basal del parque</w:t>
      </w:r>
    </w:p>
    <w:p w14:paraId="5567BDC0" w14:textId="77777777" w:rsidR="004E4744" w:rsidRDefault="004E4744" w:rsidP="008A0FED">
      <w:pPr>
        <w:pStyle w:val="Ttulo2"/>
        <w:jc w:val="both"/>
      </w:pPr>
      <w:bookmarkStart w:id="24" w:name="_Toc239801396"/>
      <w:r w:rsidRPr="000F2CF2">
        <w:t>5.3 Especificaciones de diseño para diagramas de circuito y esquemas de conexión horizontal (Matriz Técnica)</w:t>
      </w:r>
      <w:bookmarkEnd w:id="24"/>
    </w:p>
    <w:p w14:paraId="17E32923" w14:textId="77777777" w:rsidR="008A0FED" w:rsidRPr="008A0FED" w:rsidRDefault="008A0FED" w:rsidP="008A0FED">
      <w:pPr>
        <w:jc w:val="both"/>
      </w:pPr>
    </w:p>
    <w:p w14:paraId="07E758ED" w14:textId="2E362DD3" w:rsidR="004E4744" w:rsidRPr="000F2CF2" w:rsidRDefault="004E4744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>A continuación, se presenta la matriz de integración técnica que sintetiza los requerimientos de cableado, alimentación, sensores y protocolos por subsistema para su inclusión en los diagramas de circuito del proyecto: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3"/>
        <w:gridCol w:w="2018"/>
        <w:gridCol w:w="1874"/>
        <w:gridCol w:w="1467"/>
        <w:gridCol w:w="1896"/>
        <w:gridCol w:w="2032"/>
        <w:gridCol w:w="1834"/>
      </w:tblGrid>
      <w:tr w:rsidR="00EC7BB0" w:rsidRPr="000F2CF2" w14:paraId="26A10C5F" w14:textId="77777777" w:rsidTr="00EC7BB0">
        <w:tc>
          <w:tcPr>
            <w:tcW w:w="1873" w:type="dxa"/>
          </w:tcPr>
          <w:p w14:paraId="2127792E" w14:textId="58B30A65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Subsistema de Proyecto</w:t>
            </w:r>
          </w:p>
        </w:tc>
        <w:tc>
          <w:tcPr>
            <w:tcW w:w="2018" w:type="dxa"/>
          </w:tcPr>
          <w:p w14:paraId="02609668" w14:textId="760F722F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Sensor / Dispositivo Principal</w:t>
            </w:r>
          </w:p>
        </w:tc>
        <w:tc>
          <w:tcPr>
            <w:tcW w:w="1874" w:type="dxa"/>
          </w:tcPr>
          <w:p w14:paraId="4E76CC34" w14:textId="692ED3CE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Tipo de Cableado Especificado</w:t>
            </w:r>
          </w:p>
        </w:tc>
        <w:tc>
          <w:tcPr>
            <w:tcW w:w="1467" w:type="dxa"/>
          </w:tcPr>
          <w:p w14:paraId="2862E14E" w14:textId="7777777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96" w:type="dxa"/>
          </w:tcPr>
          <w:p w14:paraId="3E84B81E" w14:textId="64AEFE69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Tensión de Alimentación</w:t>
            </w:r>
          </w:p>
        </w:tc>
        <w:tc>
          <w:tcPr>
            <w:tcW w:w="2032" w:type="dxa"/>
          </w:tcPr>
          <w:p w14:paraId="04981D7C" w14:textId="05494808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Protocolo / Interfaz de Red</w:t>
            </w:r>
          </w:p>
        </w:tc>
        <w:tc>
          <w:tcPr>
            <w:tcW w:w="1834" w:type="dxa"/>
          </w:tcPr>
          <w:p w14:paraId="5AAFD591" w14:textId="0E777DD1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Norma de Aplicación</w:t>
            </w:r>
          </w:p>
        </w:tc>
      </w:tr>
      <w:tr w:rsidR="00EC7BB0" w:rsidRPr="000F2CF2" w14:paraId="049512EF" w14:textId="77777777" w:rsidTr="00EC7BB0">
        <w:tc>
          <w:tcPr>
            <w:tcW w:w="1873" w:type="dxa"/>
          </w:tcPr>
          <w:p w14:paraId="0B64532F" w14:textId="012962C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Iluminación Eficiente</w:t>
            </w:r>
          </w:p>
        </w:tc>
        <w:tc>
          <w:tcPr>
            <w:tcW w:w="2018" w:type="dxa"/>
          </w:tcPr>
          <w:p w14:paraId="22D7EE2B" w14:textId="1B5F6D92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Fotocelda </w:t>
            </w:r>
            <w:proofErr w:type="spellStart"/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IoT</w:t>
            </w:r>
            <w:proofErr w:type="spellEnd"/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 con regulador </w:t>
            </w:r>
            <w:proofErr w:type="spellStart"/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dimmable</w:t>
            </w:r>
            <w:proofErr w:type="spellEnd"/>
          </w:p>
        </w:tc>
        <w:tc>
          <w:tcPr>
            <w:tcW w:w="1874" w:type="dxa"/>
          </w:tcPr>
          <w:p w14:paraId="744D6984" w14:textId="6714BBF3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Cable cobre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2×2.08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 mm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oMath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 (THHN)</w:t>
            </w:r>
          </w:p>
          <w:p w14:paraId="50D8B505" w14:textId="7777777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7" w:type="dxa"/>
          </w:tcPr>
          <w:p w14:paraId="2A67AFF9" w14:textId="7777777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1896" w:type="dxa"/>
          </w:tcPr>
          <w:p w14:paraId="24A57302" w14:textId="746A3B09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120/220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> V CA</m:t>
                </m:r>
              </m:oMath>
            </m:oMathPara>
          </w:p>
        </w:tc>
        <w:tc>
          <w:tcPr>
            <w:tcW w:w="2032" w:type="dxa"/>
          </w:tcPr>
          <w:p w14:paraId="7A39E6AB" w14:textId="7AAC017D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NEMA / </w:t>
            </w:r>
            <w:proofErr w:type="spellStart"/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Zhaga</w:t>
            </w:r>
            <w:proofErr w:type="spellEnd"/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 / Modbus</w:t>
            </w:r>
          </w:p>
        </w:tc>
        <w:tc>
          <w:tcPr>
            <w:tcW w:w="1834" w:type="dxa"/>
          </w:tcPr>
          <w:p w14:paraId="1A533140" w14:textId="16F9B8D6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NOM-031-ENER / NOM-001</w:t>
            </w:r>
          </w:p>
        </w:tc>
      </w:tr>
      <w:tr w:rsidR="00EC7BB0" w:rsidRPr="000F2CF2" w14:paraId="1F980A54" w14:textId="77777777" w:rsidTr="00EC7BB0">
        <w:tc>
          <w:tcPr>
            <w:tcW w:w="1873" w:type="dxa"/>
          </w:tcPr>
          <w:p w14:paraId="66041484" w14:textId="1C1E73FF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Iluminación Autónoma</w:t>
            </w:r>
          </w:p>
        </w:tc>
        <w:tc>
          <w:tcPr>
            <w:tcW w:w="2018" w:type="dxa"/>
          </w:tcPr>
          <w:p w14:paraId="459406E9" w14:textId="5CEF5FC9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LDR + PIR + Arduino Nano 3.0</w:t>
            </w:r>
          </w:p>
        </w:tc>
        <w:tc>
          <w:tcPr>
            <w:tcW w:w="1874" w:type="dxa"/>
          </w:tcPr>
          <w:p w14:paraId="2BA12CD2" w14:textId="573E8A11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Cable flexible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2×1.5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 mm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oMath>
          </w:p>
          <w:p w14:paraId="5AD9F541" w14:textId="7777777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7" w:type="dxa"/>
          </w:tcPr>
          <w:p w14:paraId="53A806A1" w14:textId="7777777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1896" w:type="dxa"/>
          </w:tcPr>
          <w:p w14:paraId="4D2E032A" w14:textId="66D6A5EB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 V CC</m:t>
              </m:r>
            </m:oMath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 (Batería Litio)</w:t>
            </w:r>
          </w:p>
          <w:p w14:paraId="76A2ABEE" w14:textId="7777777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32" w:type="dxa"/>
          </w:tcPr>
          <w:p w14:paraId="59AACA30" w14:textId="3D55450A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Entradas GPIO Digital/Analógica</w:t>
            </w:r>
          </w:p>
        </w:tc>
        <w:tc>
          <w:tcPr>
            <w:tcW w:w="1834" w:type="dxa"/>
          </w:tcPr>
          <w:p w14:paraId="081B6FAE" w14:textId="0620F3DD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Estándar de Prototipado</w:t>
            </w:r>
          </w:p>
        </w:tc>
      </w:tr>
      <w:tr w:rsidR="00EC7BB0" w:rsidRPr="000F2CF2" w14:paraId="4DCA1F9B" w14:textId="77777777" w:rsidTr="00EC7BB0">
        <w:tc>
          <w:tcPr>
            <w:tcW w:w="1873" w:type="dxa"/>
          </w:tcPr>
          <w:p w14:paraId="26D1011F" w14:textId="198E5F25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Intrusión y Alarma</w:t>
            </w:r>
          </w:p>
        </w:tc>
        <w:tc>
          <w:tcPr>
            <w:tcW w:w="2018" w:type="dxa"/>
          </w:tcPr>
          <w:p w14:paraId="3B24DC7A" w14:textId="33566D68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Infrarrojo Pasivo Dual </w:t>
            </w:r>
            <w:proofErr w:type="spellStart"/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Anti-enmascaramiento</w:t>
            </w:r>
            <w:proofErr w:type="spellEnd"/>
          </w:p>
        </w:tc>
        <w:tc>
          <w:tcPr>
            <w:tcW w:w="1874" w:type="dxa"/>
          </w:tcPr>
          <w:p w14:paraId="102B0279" w14:textId="0532DD91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Cable apantallado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4×0.22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 mm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1467" w:type="dxa"/>
          </w:tcPr>
          <w:p w14:paraId="2CE48ED3" w14:textId="7777777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1896" w:type="dxa"/>
          </w:tcPr>
          <w:p w14:paraId="339A0CBA" w14:textId="70133BA8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 V CC</m:t>
              </m:r>
            </m:oMath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 (Central IP)</w:t>
            </w:r>
          </w:p>
          <w:p w14:paraId="5D0AA0BD" w14:textId="7777777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32" w:type="dxa"/>
          </w:tcPr>
          <w:p w14:paraId="7BC5691E" w14:textId="71BBB171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Bus RS-485 / IP</w:t>
            </w:r>
          </w:p>
        </w:tc>
        <w:tc>
          <w:tcPr>
            <w:tcW w:w="1834" w:type="dxa"/>
          </w:tcPr>
          <w:p w14:paraId="5F5EAAC5" w14:textId="23611C98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Grado 3 / UNE-EN 50131</w:t>
            </w:r>
          </w:p>
        </w:tc>
      </w:tr>
      <w:tr w:rsidR="00EC7BB0" w:rsidRPr="000F2CF2" w14:paraId="6E618C85" w14:textId="77777777" w:rsidTr="00EC7BB0">
        <w:tc>
          <w:tcPr>
            <w:tcW w:w="1873" w:type="dxa"/>
          </w:tcPr>
          <w:p w14:paraId="5E2B678E" w14:textId="0F88EF8A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Circuito Cerrado (CCTV)</w:t>
            </w:r>
          </w:p>
        </w:tc>
        <w:tc>
          <w:tcPr>
            <w:tcW w:w="2018" w:type="dxa"/>
          </w:tcPr>
          <w:p w14:paraId="4230A228" w14:textId="78AA7DBD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Cámara IP </w:t>
            </w:r>
            <w:proofErr w:type="spellStart"/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Minidomo</w:t>
            </w:r>
            <w:proofErr w:type="spellEnd"/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 4K Antivandálica</w:t>
            </w:r>
          </w:p>
        </w:tc>
        <w:tc>
          <w:tcPr>
            <w:tcW w:w="1874" w:type="dxa"/>
          </w:tcPr>
          <w:p w14:paraId="5EC99DC3" w14:textId="7E9AF9B9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Cable UTP / FTP Categoría 6 / Fibra</w:t>
            </w:r>
          </w:p>
        </w:tc>
        <w:tc>
          <w:tcPr>
            <w:tcW w:w="1467" w:type="dxa"/>
          </w:tcPr>
          <w:p w14:paraId="7E33798D" w14:textId="7777777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96" w:type="dxa"/>
          </w:tcPr>
          <w:p w14:paraId="69447471" w14:textId="5747F29E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PoE</w:t>
            </w:r>
            <w:proofErr w:type="spellEnd"/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48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 V CC</m:t>
              </m:r>
            </m:oMath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) /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 V CC</m:t>
              </m:r>
            </m:oMath>
          </w:p>
          <w:p w14:paraId="77B63BBF" w14:textId="7777777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32" w:type="dxa"/>
          </w:tcPr>
          <w:p w14:paraId="251EFC89" w14:textId="253927C3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Ethernet TCP/IP / ONVIF</w:t>
            </w:r>
          </w:p>
        </w:tc>
        <w:tc>
          <w:tcPr>
            <w:tcW w:w="1834" w:type="dxa"/>
          </w:tcPr>
          <w:p w14:paraId="30CAC7D9" w14:textId="6BF0307F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ISO/IEC 11801</w:t>
            </w:r>
          </w:p>
        </w:tc>
      </w:tr>
      <w:tr w:rsidR="00EC7BB0" w:rsidRPr="000F2CF2" w14:paraId="26E3AC56" w14:textId="77777777" w:rsidTr="00EC7BB0">
        <w:tc>
          <w:tcPr>
            <w:tcW w:w="1873" w:type="dxa"/>
          </w:tcPr>
          <w:p w14:paraId="2F58CF77" w14:textId="099694A8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Control de Accesos</w:t>
            </w:r>
          </w:p>
        </w:tc>
        <w:tc>
          <w:tcPr>
            <w:tcW w:w="2018" w:type="dxa"/>
          </w:tcPr>
          <w:p w14:paraId="7D1BD986" w14:textId="256089DE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Lector RFID / </w:t>
            </w:r>
            <w:proofErr w:type="spellStart"/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Electrocerradura</w:t>
            </w:r>
            <w:proofErr w:type="spellEnd"/>
          </w:p>
        </w:tc>
        <w:tc>
          <w:tcPr>
            <w:tcW w:w="1874" w:type="dxa"/>
          </w:tcPr>
          <w:p w14:paraId="3074ECF5" w14:textId="28028EF4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Cable apantallado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6×0.22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 mm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1467" w:type="dxa"/>
          </w:tcPr>
          <w:p w14:paraId="64DD68B4" w14:textId="7777777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1896" w:type="dxa"/>
          </w:tcPr>
          <w:p w14:paraId="440C0F1D" w14:textId="17CB147B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 V CC</m:t>
              </m:r>
            </m:oMath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 /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24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 V CC</m:t>
              </m:r>
            </m:oMath>
          </w:p>
          <w:p w14:paraId="10B32F79" w14:textId="7777777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32" w:type="dxa"/>
          </w:tcPr>
          <w:p w14:paraId="4530FED6" w14:textId="2E6040D8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Wiegand / OSDP / IP</w:t>
            </w:r>
          </w:p>
        </w:tc>
        <w:tc>
          <w:tcPr>
            <w:tcW w:w="1834" w:type="dxa"/>
          </w:tcPr>
          <w:p w14:paraId="03AD3555" w14:textId="3EE318E6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Directivas CE</w:t>
            </w:r>
          </w:p>
        </w:tc>
      </w:tr>
      <w:tr w:rsidR="00EC7BB0" w:rsidRPr="000F2CF2" w14:paraId="55F312CE" w14:textId="77777777" w:rsidTr="00EC7BB0">
        <w:tc>
          <w:tcPr>
            <w:tcW w:w="1873" w:type="dxa"/>
          </w:tcPr>
          <w:p w14:paraId="04FD2F22" w14:textId="71879EE1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Detección Incendios</w:t>
            </w:r>
          </w:p>
        </w:tc>
        <w:tc>
          <w:tcPr>
            <w:tcW w:w="2018" w:type="dxa"/>
          </w:tcPr>
          <w:p w14:paraId="0005CBCD" w14:textId="1BDCA54F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Detector Óptico de Humo Direccionable</w:t>
            </w:r>
          </w:p>
        </w:tc>
        <w:tc>
          <w:tcPr>
            <w:tcW w:w="1874" w:type="dxa"/>
          </w:tcPr>
          <w:p w14:paraId="79681D88" w14:textId="6C9339C8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Cable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2×1.5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 mm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oMath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 Resistente al Fuego</w:t>
            </w:r>
          </w:p>
        </w:tc>
        <w:tc>
          <w:tcPr>
            <w:tcW w:w="1467" w:type="dxa"/>
          </w:tcPr>
          <w:p w14:paraId="2707185A" w14:textId="7777777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1896" w:type="dxa"/>
          </w:tcPr>
          <w:p w14:paraId="4BFDC9CB" w14:textId="1D06C02C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24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 V CC</m:t>
              </m:r>
            </m:oMath>
            <w:r w:rsidRPr="000F2CF2">
              <w:rPr>
                <w:rFonts w:ascii="Times New Roman" w:hAnsi="Times New Roman" w:cs="Times New Roman"/>
                <w:sz w:val="22"/>
                <w:szCs w:val="22"/>
              </w:rPr>
              <w:t xml:space="preserve"> (Bucle de Incendio)</w:t>
            </w:r>
          </w:p>
          <w:p w14:paraId="2A41F51A" w14:textId="77777777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32" w:type="dxa"/>
          </w:tcPr>
          <w:p w14:paraId="3F64B01A" w14:textId="6EC34978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Protocolo Propietario en Bucle</w:t>
            </w:r>
          </w:p>
        </w:tc>
        <w:tc>
          <w:tcPr>
            <w:tcW w:w="1834" w:type="dxa"/>
          </w:tcPr>
          <w:p w14:paraId="14C49E21" w14:textId="0F273C89" w:rsidR="00EC7BB0" w:rsidRPr="000F2CF2" w:rsidRDefault="00EC7BB0" w:rsidP="008A0FED">
            <w:pPr>
              <w:spacing w:afterLines="120" w:after="288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F2CF2">
              <w:rPr>
                <w:rFonts w:ascii="Times New Roman" w:hAnsi="Times New Roman" w:cs="Times New Roman"/>
                <w:sz w:val="22"/>
                <w:szCs w:val="22"/>
              </w:rPr>
              <w:t>EN 54-2 / EN 54-7</w:t>
            </w:r>
          </w:p>
        </w:tc>
      </w:tr>
    </w:tbl>
    <w:p w14:paraId="137F7474" w14:textId="77777777" w:rsidR="008A0FED" w:rsidRDefault="008A0FED" w:rsidP="008A0FED">
      <w:pPr>
        <w:spacing w:afterLines="120" w:after="288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6A445D4" w14:textId="77777777" w:rsidR="008A0FED" w:rsidRDefault="008A0FED" w:rsidP="008A0FED">
      <w:pPr>
        <w:spacing w:afterLines="120" w:after="288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CA310BE" w14:textId="7A511429" w:rsidR="008A0FED" w:rsidRDefault="00BB69F3" w:rsidP="008A0FED">
      <w:pPr>
        <w:pStyle w:val="Ttulo2"/>
        <w:jc w:val="both"/>
      </w:pPr>
      <w:bookmarkStart w:id="25" w:name="_Toc239801397"/>
      <w:r w:rsidRPr="000F2CF2">
        <w:lastRenderedPageBreak/>
        <w:t>5.4 Hoja de ruta para la ejecución del proyecto y alineación normativa</w:t>
      </w:r>
      <w:bookmarkEnd w:id="25"/>
    </w:p>
    <w:p w14:paraId="2068BED5" w14:textId="77777777" w:rsidR="008A0FED" w:rsidRPr="008A0FED" w:rsidRDefault="008A0FED" w:rsidP="008A0FED">
      <w:pPr>
        <w:jc w:val="both"/>
      </w:pPr>
    </w:p>
    <w:p w14:paraId="1BF13E5A" w14:textId="77777777" w:rsidR="00BB69F3" w:rsidRPr="000F2CF2" w:rsidRDefault="00BB69F3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sz w:val="22"/>
          <w:szCs w:val="22"/>
        </w:rPr>
        <w:t xml:space="preserve">La fase final de la investigación establece los pasos cronológicos para garantizar la entrega conforme a especificaciones. </w:t>
      </w:r>
    </w:p>
    <w:p w14:paraId="10F1C0BD" w14:textId="77777777" w:rsidR="00BB69F3" w:rsidRPr="000F2CF2" w:rsidRDefault="00BB69F3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Fase 1: Relevamiento y Anteproyecto: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Levantamiento topográfico, censo de luminarias existentes y modelado energético. </w:t>
      </w:r>
    </w:p>
    <w:p w14:paraId="257BD56C" w14:textId="77777777" w:rsidR="00BB69F3" w:rsidRPr="000F2CF2" w:rsidRDefault="00BB69F3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Fase 2: Instalación de Canalizaciones y Cableado:</w:t>
      </w:r>
      <w:r w:rsidRPr="000F2CF2">
        <w:rPr>
          <w:rFonts w:ascii="Times New Roman" w:hAnsi="Times New Roman" w:cs="Times New Roman"/>
          <w:sz w:val="22"/>
          <w:szCs w:val="22"/>
        </w:rPr>
        <w:t xml:space="preserve"> Despliegue de la infraestructura física, tendido de cableado estructurado y tableros. </w:t>
      </w:r>
    </w:p>
    <w:p w14:paraId="1AB76402" w14:textId="77777777" w:rsidR="00BB69F3" w:rsidRPr="000F2CF2" w:rsidRDefault="00BB69F3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Fase 3: Montaje de Equipamiento y Controladores:</w:t>
      </w:r>
      <w:r w:rsidRPr="000F2CF2">
        <w:rPr>
          <w:rFonts w:ascii="Times New Roman" w:hAnsi="Times New Roman" w:cs="Times New Roman"/>
          <w:sz w:val="22"/>
          <w:szCs w:val="22"/>
        </w:rPr>
        <w:t xml:space="preserve"> Instalación de luminarias, sensores, cámaras, lectores y paneles de control. </w:t>
      </w:r>
    </w:p>
    <w:p w14:paraId="0884570E" w14:textId="77777777" w:rsidR="00BB69F3" w:rsidRPr="000F2CF2" w:rsidRDefault="00BB69F3" w:rsidP="008A0FED">
      <w:pPr>
        <w:spacing w:afterLines="120" w:after="288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F2CF2">
        <w:rPr>
          <w:rFonts w:ascii="Times New Roman" w:hAnsi="Times New Roman" w:cs="Times New Roman"/>
          <w:b/>
          <w:bCs/>
          <w:sz w:val="22"/>
          <w:szCs w:val="22"/>
        </w:rPr>
        <w:t>Fase 4: Pruebas y Certificación UVIE:</w:t>
      </w:r>
      <w:r w:rsidRPr="000F2CF2">
        <w:rPr>
          <w:rFonts w:ascii="Times New Roman" w:hAnsi="Times New Roman" w:cs="Times New Roman"/>
          <w:sz w:val="22"/>
          <w:szCs w:val="22"/>
        </w:rPr>
        <w:t xml:space="preserve"> Auditoría por Unidades de Verificación y emisión de informes de conformidad. </w:t>
      </w:r>
    </w:p>
    <w:p w14:paraId="0ECF806A" w14:textId="77777777" w:rsidR="00BB69F3" w:rsidRPr="000F2CF2" w:rsidRDefault="00BB69F3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  <w:sectPr w:rsidR="00BB69F3" w:rsidRPr="000F2CF2" w:rsidSect="004E4744">
          <w:headerReference w:type="default" r:id="rId28"/>
          <w:footerReference w:type="default" r:id="rId29"/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13571CC1" w14:textId="77777777" w:rsidR="00EC7BB0" w:rsidRPr="000F2CF2" w:rsidRDefault="00EC7BB0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0CB61175" w14:textId="77777777" w:rsidR="00EC7BB0" w:rsidRPr="000F2CF2" w:rsidRDefault="00EC7BB0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086FDFD7" w14:textId="77777777" w:rsidR="00EC7BB0" w:rsidRPr="000F2CF2" w:rsidRDefault="00EC7BB0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3D0C2498" w14:textId="77777777" w:rsidR="00EC7BB0" w:rsidRPr="000F2CF2" w:rsidRDefault="00EC7BB0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03B1FEBA" w14:textId="77777777" w:rsidR="00EC7BB0" w:rsidRPr="000F2CF2" w:rsidRDefault="00EC7BB0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4F2C7B4F" w14:textId="77777777" w:rsidR="00EC7BB0" w:rsidRPr="000F2CF2" w:rsidRDefault="00EC7BB0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622BCBDB" w14:textId="77777777" w:rsidR="00EC7BB0" w:rsidRPr="000F2CF2" w:rsidRDefault="00EC7BB0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2341FB1B" w14:textId="77777777" w:rsidR="00EC7BB0" w:rsidRPr="000F2CF2" w:rsidRDefault="00EC7BB0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355201C8" w14:textId="77777777" w:rsidR="00EC7BB0" w:rsidRPr="000F2CF2" w:rsidRDefault="00EC7BB0" w:rsidP="000F2CF2">
      <w:pPr>
        <w:spacing w:afterLines="120" w:after="288" w:line="360" w:lineRule="auto"/>
        <w:rPr>
          <w:rFonts w:ascii="Times New Roman" w:hAnsi="Times New Roman" w:cs="Times New Roman"/>
          <w:sz w:val="22"/>
          <w:szCs w:val="22"/>
        </w:rPr>
      </w:pPr>
    </w:p>
    <w:p w14:paraId="79F48416" w14:textId="77777777" w:rsidR="00EC7BB0" w:rsidRPr="00CB6F56" w:rsidRDefault="00EC7BB0" w:rsidP="00CB6F56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64EFEEF" w14:textId="03EB1830" w:rsidR="004E4744" w:rsidRPr="00CB6F56" w:rsidRDefault="00EC7BB0" w:rsidP="00CB6F56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6" w:name="_Toc239801398"/>
      <w:r w:rsidRPr="00CB6F5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R</w:t>
      </w:r>
      <w:bookmarkEnd w:id="26"/>
      <w:r w:rsidR="00E113A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eferencias</w:t>
      </w:r>
    </w:p>
    <w:p w14:paraId="19D4FCA9" w14:textId="1CCDC395" w:rsidR="00EC7BB0" w:rsidRPr="00CB6F56" w:rsidRDefault="00EC7BB0" w:rsidP="00CB6F56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F36201C" w14:textId="77777777" w:rsidR="00EC7BB0" w:rsidRDefault="00EC7BB0" w:rsidP="00EC7BB0">
      <w:pPr>
        <w:spacing w:after="120" w:line="360" w:lineRule="auto"/>
        <w:jc w:val="center"/>
        <w:rPr>
          <w:rFonts w:ascii="Times New Roman" w:hAnsi="Times New Roman" w:cs="Times New Roman"/>
          <w:sz w:val="22"/>
          <w:szCs w:val="22"/>
        </w:rPr>
        <w:sectPr w:rsidR="00EC7BB0" w:rsidSect="00BB69F3">
          <w:headerReference w:type="default" r:id="rId30"/>
          <w:footerReference w:type="default" r:id="rId31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bookmarkStart w:id="27" w:name="_Toc239801399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MX"/>
        </w:rPr>
        <w:id w:val="878447692"/>
        <w:docPartObj>
          <w:docPartGallery w:val="Bibliographies"/>
          <w:docPartUnique/>
        </w:docPartObj>
      </w:sdtPr>
      <w:sdtEndPr>
        <w:rPr>
          <w:lang w:val="es-GT"/>
        </w:rPr>
      </w:sdtEndPr>
      <w:sdtContent>
        <w:p w14:paraId="268D4FED" w14:textId="63F3C737" w:rsidR="009D422E" w:rsidRPr="009D422E" w:rsidRDefault="009D422E" w:rsidP="009D422E">
          <w:pPr>
            <w:pStyle w:val="Ttulo1"/>
            <w:spacing w:line="360" w:lineRule="auto"/>
            <w:ind w:hanging="709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9D422E">
            <w:rPr>
              <w:rFonts w:ascii="Times New Roman" w:hAnsi="Times New Roman" w:cs="Times New Roman"/>
              <w:b/>
              <w:bCs/>
              <w:color w:val="000000" w:themeColor="text1"/>
              <w:lang w:val="es-MX"/>
            </w:rPr>
            <w:t>Referencias</w:t>
          </w:r>
          <w:bookmarkEnd w:id="27"/>
        </w:p>
        <w:sdt>
          <w:sdtPr>
            <w:rPr>
              <w:rFonts w:ascii="Times New Roman" w:hAnsi="Times New Roman" w:cs="Times New Roman"/>
            </w:rPr>
            <w:id w:val="-573587230"/>
            <w:bibliography/>
          </w:sdtPr>
          <w:sdtEndPr>
            <w:rPr>
              <w:rFonts w:asciiTheme="minorHAnsi" w:hAnsiTheme="minorHAnsi" w:cstheme="minorBidi"/>
            </w:rPr>
          </w:sdtEndPr>
          <w:sdtContent>
            <w:p w14:paraId="6F235743" w14:textId="77777777" w:rsidR="009D422E" w:rsidRPr="009D422E" w:rsidRDefault="009D422E" w:rsidP="009D422E">
              <w:pPr>
                <w:pStyle w:val="Bibliografa"/>
                <w:spacing w:line="360" w:lineRule="auto"/>
                <w:ind w:left="720" w:hanging="709"/>
                <w:rPr>
                  <w:rFonts w:ascii="Times New Roman" w:hAnsi="Times New Roman" w:cs="Times New Roman"/>
                  <w:noProof/>
                  <w:kern w:val="0"/>
                  <w:lang w:val="es-MX"/>
                  <w14:ligatures w14:val="none"/>
                </w:rPr>
              </w:pPr>
              <w:r w:rsidRPr="009D422E">
                <w:rPr>
                  <w:rFonts w:ascii="Times New Roman" w:hAnsi="Times New Roman" w:cs="Times New Roman"/>
                </w:rPr>
                <w:fldChar w:fldCharType="begin"/>
              </w:r>
              <w:r w:rsidRPr="009D422E">
                <w:rPr>
                  <w:rFonts w:ascii="Times New Roman" w:hAnsi="Times New Roman" w:cs="Times New Roman"/>
                </w:rPr>
                <w:instrText>BIBLIOGRAPHY</w:instrText>
              </w:r>
              <w:r w:rsidRPr="009D422E">
                <w:rPr>
                  <w:rFonts w:ascii="Times New Roman" w:hAnsi="Times New Roman" w:cs="Times New Roman"/>
                </w:rPr>
                <w:fldChar w:fldCharType="separate"/>
              </w:r>
              <w:r w:rsidRPr="009D422E">
                <w:rPr>
                  <w:rFonts w:ascii="Times New Roman" w:hAnsi="Times New Roman" w:cs="Times New Roman"/>
                  <w:noProof/>
                  <w:lang w:val="es-MX"/>
                </w:rPr>
                <w:t xml:space="preserve">Fuerte Arana, V. (2016). </w:t>
              </w:r>
              <w:r w:rsidRPr="009D422E">
                <w:rPr>
                  <w:rFonts w:ascii="Times New Roman" w:hAnsi="Times New Roman" w:cs="Times New Roman"/>
                  <w:i/>
                  <w:iCs/>
                  <w:noProof/>
                  <w:lang w:val="es-MX"/>
                </w:rPr>
                <w:t>Diseño de protección de sistemas de seguridad pasiva en edificios.</w:t>
              </w:r>
              <w:r w:rsidRPr="009D422E">
                <w:rPr>
                  <w:rFonts w:ascii="Times New Roman" w:hAnsi="Times New Roman" w:cs="Times New Roman"/>
                  <w:noProof/>
                  <w:lang w:val="es-MX"/>
                </w:rPr>
                <w:t xml:space="preserve"> Madrid: Universidad Carlos III de Madrid / Universidad Politécnica de Madrid.</w:t>
              </w:r>
            </w:p>
            <w:p w14:paraId="39D796B5" w14:textId="77777777" w:rsidR="009D422E" w:rsidRPr="009D422E" w:rsidRDefault="009D422E" w:rsidP="009D422E">
              <w:pPr>
                <w:pStyle w:val="Bibliografa"/>
                <w:spacing w:line="360" w:lineRule="auto"/>
                <w:ind w:left="720" w:hanging="709"/>
                <w:rPr>
                  <w:rFonts w:ascii="Times New Roman" w:hAnsi="Times New Roman" w:cs="Times New Roman"/>
                  <w:noProof/>
                  <w:lang w:val="es-MX"/>
                </w:rPr>
              </w:pPr>
              <w:r w:rsidRPr="009D422E">
                <w:rPr>
                  <w:rFonts w:ascii="Times New Roman" w:hAnsi="Times New Roman" w:cs="Times New Roman"/>
                  <w:noProof/>
                  <w:lang w:val="es-MX"/>
                </w:rPr>
                <w:t xml:space="preserve">Secretaría de Energía &amp; Comisión Nacional para el Uso Eficiente de la Energía. (2019). </w:t>
              </w:r>
              <w:r w:rsidRPr="009D422E">
                <w:rPr>
                  <w:rFonts w:ascii="Times New Roman" w:hAnsi="Times New Roman" w:cs="Times New Roman"/>
                  <w:i/>
                  <w:iCs/>
                  <w:noProof/>
                  <w:lang w:val="es-MX"/>
                </w:rPr>
                <w:t>Alumbrado público, eficiencia energética y la ciudad inteligente: hacia el Proyecto Nacional 2.0.</w:t>
              </w:r>
              <w:r w:rsidRPr="009D422E">
                <w:rPr>
                  <w:rFonts w:ascii="Times New Roman" w:hAnsi="Times New Roman" w:cs="Times New Roman"/>
                  <w:noProof/>
                  <w:lang w:val="es-MX"/>
                </w:rPr>
                <w:t xml:space="preserve"> Ciudad de México: Gobierno de México.</w:t>
              </w:r>
            </w:p>
            <w:p w14:paraId="1EBD70DA" w14:textId="77777777" w:rsidR="009D422E" w:rsidRPr="009D422E" w:rsidRDefault="009D422E" w:rsidP="009D422E">
              <w:pPr>
                <w:pStyle w:val="Bibliografa"/>
                <w:spacing w:line="360" w:lineRule="auto"/>
                <w:ind w:left="720" w:hanging="709"/>
                <w:rPr>
                  <w:rFonts w:ascii="Times New Roman" w:hAnsi="Times New Roman" w:cs="Times New Roman"/>
                  <w:noProof/>
                  <w:lang w:val="es-MX"/>
                </w:rPr>
              </w:pPr>
              <w:r w:rsidRPr="009D422E">
                <w:rPr>
                  <w:rFonts w:ascii="Times New Roman" w:hAnsi="Times New Roman" w:cs="Times New Roman"/>
                  <w:noProof/>
                  <w:lang w:val="es-MX"/>
                </w:rPr>
                <w:t xml:space="preserve">Sharma, V. (2022). Sustainability Plan for Amusement Parks - A Case Study. </w:t>
              </w:r>
              <w:r w:rsidRPr="009D422E">
                <w:rPr>
                  <w:rFonts w:ascii="Times New Roman" w:hAnsi="Times New Roman" w:cs="Times New Roman"/>
                  <w:i/>
                  <w:iCs/>
                  <w:noProof/>
                  <w:lang w:val="es-MX"/>
                </w:rPr>
                <w:t>Journal of Scientific and Engineering Research</w:t>
              </w:r>
              <w:r w:rsidRPr="009D422E">
                <w:rPr>
                  <w:rFonts w:ascii="Times New Roman" w:hAnsi="Times New Roman" w:cs="Times New Roman"/>
                  <w:noProof/>
                  <w:lang w:val="es-MX"/>
                </w:rPr>
                <w:t>, 154-161.</w:t>
              </w:r>
            </w:p>
            <w:p w14:paraId="649F1F87" w14:textId="77777777" w:rsidR="009D422E" w:rsidRPr="009D422E" w:rsidRDefault="009D422E" w:rsidP="009D422E">
              <w:pPr>
                <w:pStyle w:val="Bibliografa"/>
                <w:spacing w:line="360" w:lineRule="auto"/>
                <w:ind w:left="720" w:hanging="709"/>
                <w:rPr>
                  <w:rFonts w:ascii="Times New Roman" w:hAnsi="Times New Roman" w:cs="Times New Roman"/>
                  <w:noProof/>
                  <w:lang w:val="es-MX"/>
                </w:rPr>
              </w:pPr>
              <w:r w:rsidRPr="009D422E">
                <w:rPr>
                  <w:rFonts w:ascii="Times New Roman" w:hAnsi="Times New Roman" w:cs="Times New Roman"/>
                  <w:noProof/>
                  <w:lang w:val="es-MX"/>
                </w:rPr>
                <w:t xml:space="preserve">Villalba, G., &amp; Cadena, C. (2018). Sistema de iluminación inteligente: propuesta para su implementación en zonas frías. </w:t>
              </w:r>
              <w:r w:rsidRPr="009D422E">
                <w:rPr>
                  <w:rFonts w:ascii="Times New Roman" w:hAnsi="Times New Roman" w:cs="Times New Roman"/>
                  <w:i/>
                  <w:iCs/>
                  <w:noProof/>
                  <w:lang w:val="es-MX"/>
                </w:rPr>
                <w:t>Cuadernos de Ingeniería. Nueva Serie</w:t>
              </w:r>
              <w:r w:rsidRPr="009D422E">
                <w:rPr>
                  <w:rFonts w:ascii="Times New Roman" w:hAnsi="Times New Roman" w:cs="Times New Roman"/>
                  <w:noProof/>
                  <w:lang w:val="es-MX"/>
                </w:rPr>
                <w:t>, 105-118.</w:t>
              </w:r>
            </w:p>
            <w:p w14:paraId="163FF810" w14:textId="1E956296" w:rsidR="009D422E" w:rsidRDefault="009D422E" w:rsidP="009D422E">
              <w:pPr>
                <w:spacing w:line="360" w:lineRule="auto"/>
                <w:ind w:hanging="709"/>
              </w:pPr>
              <w:r w:rsidRPr="009D422E">
                <w:rPr>
                  <w:rFonts w:ascii="Times New Roman" w:hAnsi="Times New Roman" w:cs="Times New Roman"/>
                  <w:b/>
                  <w:bCs/>
                </w:rPr>
                <w:fldChar w:fldCharType="end"/>
              </w:r>
            </w:p>
          </w:sdtContent>
        </w:sdt>
      </w:sdtContent>
    </w:sdt>
    <w:p w14:paraId="29199050" w14:textId="501DC9DF" w:rsidR="00EC7BB0" w:rsidRDefault="00EC7BB0" w:rsidP="00EC7BB0">
      <w:pPr>
        <w:spacing w:after="120" w:line="36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3B47C023" w14:textId="77777777" w:rsidR="009D422E" w:rsidRPr="009D422E" w:rsidRDefault="009D422E" w:rsidP="009D422E">
      <w:pPr>
        <w:rPr>
          <w:rFonts w:ascii="Times New Roman" w:hAnsi="Times New Roman" w:cs="Times New Roman"/>
          <w:sz w:val="22"/>
          <w:szCs w:val="22"/>
        </w:rPr>
      </w:pPr>
    </w:p>
    <w:p w14:paraId="61A8B04B" w14:textId="77777777" w:rsidR="009D422E" w:rsidRPr="009D422E" w:rsidRDefault="009D422E" w:rsidP="009D422E">
      <w:pPr>
        <w:rPr>
          <w:rFonts w:ascii="Times New Roman" w:hAnsi="Times New Roman" w:cs="Times New Roman"/>
          <w:sz w:val="22"/>
          <w:szCs w:val="22"/>
        </w:rPr>
      </w:pPr>
    </w:p>
    <w:p w14:paraId="6CA6FFB9" w14:textId="77777777" w:rsidR="00A05A9C" w:rsidRDefault="00A05A9C" w:rsidP="009D422E">
      <w:pPr>
        <w:rPr>
          <w:rFonts w:ascii="Times New Roman" w:hAnsi="Times New Roman" w:cs="Times New Roman"/>
          <w:sz w:val="22"/>
          <w:szCs w:val="22"/>
        </w:rPr>
        <w:sectPr w:rsidR="00A05A9C" w:rsidSect="00BB69F3">
          <w:headerReference w:type="default" r:id="rId32"/>
          <w:footerReference w:type="default" r:id="rId33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20935B6" w14:textId="77777777" w:rsidR="009D422E" w:rsidRDefault="009D422E" w:rsidP="009D422E">
      <w:pPr>
        <w:rPr>
          <w:rFonts w:ascii="Times New Roman" w:hAnsi="Times New Roman" w:cs="Times New Roman"/>
          <w:sz w:val="22"/>
          <w:szCs w:val="22"/>
        </w:rPr>
      </w:pPr>
    </w:p>
    <w:p w14:paraId="5A0D6FF3" w14:textId="77777777" w:rsidR="00A05A9C" w:rsidRDefault="00A05A9C" w:rsidP="009D422E">
      <w:pPr>
        <w:rPr>
          <w:rFonts w:ascii="Times New Roman" w:hAnsi="Times New Roman" w:cs="Times New Roman"/>
          <w:sz w:val="22"/>
          <w:szCs w:val="22"/>
        </w:rPr>
      </w:pPr>
    </w:p>
    <w:p w14:paraId="3CF886C9" w14:textId="77777777" w:rsidR="00A05A9C" w:rsidRDefault="00A05A9C" w:rsidP="009D422E">
      <w:pPr>
        <w:rPr>
          <w:rFonts w:ascii="Times New Roman" w:hAnsi="Times New Roman" w:cs="Times New Roman"/>
          <w:sz w:val="22"/>
          <w:szCs w:val="22"/>
        </w:rPr>
      </w:pPr>
    </w:p>
    <w:p w14:paraId="2EBD36B1" w14:textId="77777777" w:rsidR="00A05A9C" w:rsidRDefault="00A05A9C" w:rsidP="009D422E">
      <w:pPr>
        <w:rPr>
          <w:rFonts w:ascii="Times New Roman" w:hAnsi="Times New Roman" w:cs="Times New Roman"/>
          <w:sz w:val="22"/>
          <w:szCs w:val="22"/>
        </w:rPr>
      </w:pPr>
    </w:p>
    <w:p w14:paraId="79A98F50" w14:textId="77777777" w:rsidR="00A05A9C" w:rsidRDefault="00A05A9C" w:rsidP="009D422E">
      <w:pPr>
        <w:rPr>
          <w:rFonts w:ascii="Times New Roman" w:hAnsi="Times New Roman" w:cs="Times New Roman"/>
          <w:sz w:val="22"/>
          <w:szCs w:val="22"/>
        </w:rPr>
      </w:pPr>
    </w:p>
    <w:p w14:paraId="0E5ED32D" w14:textId="77777777" w:rsidR="00A05A9C" w:rsidRDefault="00A05A9C" w:rsidP="009D422E">
      <w:pPr>
        <w:rPr>
          <w:rFonts w:ascii="Times New Roman" w:hAnsi="Times New Roman" w:cs="Times New Roman"/>
          <w:sz w:val="22"/>
          <w:szCs w:val="22"/>
        </w:rPr>
      </w:pPr>
    </w:p>
    <w:p w14:paraId="0A9C2F92" w14:textId="77777777" w:rsidR="00A05A9C" w:rsidRDefault="00A05A9C" w:rsidP="009D422E">
      <w:pPr>
        <w:rPr>
          <w:rFonts w:ascii="Times New Roman" w:hAnsi="Times New Roman" w:cs="Times New Roman"/>
          <w:sz w:val="22"/>
          <w:szCs w:val="22"/>
        </w:rPr>
      </w:pPr>
    </w:p>
    <w:p w14:paraId="4D02045E" w14:textId="77777777" w:rsidR="00A05A9C" w:rsidRDefault="00A05A9C" w:rsidP="009D422E">
      <w:pPr>
        <w:rPr>
          <w:rFonts w:ascii="Times New Roman" w:hAnsi="Times New Roman" w:cs="Times New Roman"/>
          <w:sz w:val="22"/>
          <w:szCs w:val="22"/>
        </w:rPr>
      </w:pPr>
    </w:p>
    <w:p w14:paraId="61B14195" w14:textId="77777777" w:rsidR="00A05A9C" w:rsidRDefault="00A05A9C" w:rsidP="009D422E">
      <w:pPr>
        <w:rPr>
          <w:rFonts w:ascii="Times New Roman" w:hAnsi="Times New Roman" w:cs="Times New Roman"/>
          <w:sz w:val="22"/>
          <w:szCs w:val="22"/>
        </w:rPr>
      </w:pPr>
    </w:p>
    <w:p w14:paraId="42658005" w14:textId="77777777" w:rsidR="00A05A9C" w:rsidRDefault="00A05A9C" w:rsidP="009D422E">
      <w:pPr>
        <w:rPr>
          <w:rFonts w:ascii="Times New Roman" w:hAnsi="Times New Roman" w:cs="Times New Roman"/>
          <w:sz w:val="22"/>
          <w:szCs w:val="22"/>
        </w:rPr>
      </w:pPr>
    </w:p>
    <w:p w14:paraId="069C0116" w14:textId="77777777" w:rsidR="00A05A9C" w:rsidRDefault="00A05A9C" w:rsidP="009D422E">
      <w:pPr>
        <w:rPr>
          <w:rFonts w:ascii="Times New Roman" w:hAnsi="Times New Roman" w:cs="Times New Roman"/>
          <w:sz w:val="22"/>
          <w:szCs w:val="22"/>
        </w:rPr>
      </w:pPr>
    </w:p>
    <w:p w14:paraId="693F1914" w14:textId="77777777" w:rsidR="00A05A9C" w:rsidRDefault="00A05A9C" w:rsidP="009D422E">
      <w:pPr>
        <w:rPr>
          <w:rFonts w:ascii="Times New Roman" w:hAnsi="Times New Roman" w:cs="Times New Roman"/>
          <w:sz w:val="22"/>
          <w:szCs w:val="22"/>
        </w:rPr>
      </w:pPr>
    </w:p>
    <w:p w14:paraId="2B69B811" w14:textId="77777777" w:rsidR="00A05A9C" w:rsidRDefault="00A05A9C" w:rsidP="009D422E">
      <w:pPr>
        <w:rPr>
          <w:rFonts w:ascii="Times New Roman" w:hAnsi="Times New Roman" w:cs="Times New Roman"/>
          <w:sz w:val="22"/>
          <w:szCs w:val="22"/>
        </w:rPr>
      </w:pPr>
    </w:p>
    <w:p w14:paraId="1F1F651E" w14:textId="77777777" w:rsidR="00A05A9C" w:rsidRDefault="00A05A9C" w:rsidP="009D422E">
      <w:pPr>
        <w:rPr>
          <w:rFonts w:ascii="Times New Roman" w:hAnsi="Times New Roman" w:cs="Times New Roman"/>
          <w:sz w:val="22"/>
          <w:szCs w:val="22"/>
        </w:rPr>
      </w:pPr>
    </w:p>
    <w:p w14:paraId="76FAA02A" w14:textId="184F8C37" w:rsidR="00A05A9C" w:rsidRPr="00A05A9C" w:rsidRDefault="00A05A9C" w:rsidP="00A05A9C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A05A9C">
        <w:rPr>
          <w:rFonts w:ascii="Times New Roman" w:hAnsi="Times New Roman" w:cs="Times New Roman"/>
          <w:b/>
          <w:bCs/>
          <w:color w:val="000000" w:themeColor="text1"/>
        </w:rPr>
        <w:t>Anexos</w:t>
      </w:r>
    </w:p>
    <w:p w14:paraId="3CB230AB" w14:textId="77777777" w:rsidR="00A05A9C" w:rsidRDefault="009D422E" w:rsidP="009D422E">
      <w:pPr>
        <w:tabs>
          <w:tab w:val="left" w:pos="5680"/>
        </w:tabs>
        <w:rPr>
          <w:rFonts w:ascii="Times New Roman" w:hAnsi="Times New Roman" w:cs="Times New Roman"/>
          <w:sz w:val="22"/>
          <w:szCs w:val="22"/>
        </w:rPr>
        <w:sectPr w:rsidR="00A05A9C" w:rsidSect="00BB69F3">
          <w:headerReference w:type="default" r:id="rId34"/>
          <w:footerReference w:type="default" r:id="rId35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6BCBFEEB" w14:textId="43F5B5F1" w:rsidR="009D422E" w:rsidRDefault="009D422E" w:rsidP="009D422E">
      <w:pPr>
        <w:tabs>
          <w:tab w:val="left" w:pos="5680"/>
        </w:tabs>
        <w:rPr>
          <w:rFonts w:ascii="Times New Roman" w:hAnsi="Times New Roman" w:cs="Times New Roman"/>
          <w:sz w:val="22"/>
          <w:szCs w:val="22"/>
        </w:rPr>
      </w:pPr>
    </w:p>
    <w:p w14:paraId="28D2F22A" w14:textId="1C200775" w:rsidR="00A05A9C" w:rsidRDefault="00F36244" w:rsidP="009D422E">
      <w:pPr>
        <w:tabs>
          <w:tab w:val="left" w:pos="5680"/>
        </w:tabs>
        <w:rPr>
          <w:rFonts w:ascii="Times New Roman" w:hAnsi="Times New Roman" w:cs="Times New Roman"/>
          <w:sz w:val="22"/>
          <w:szCs w:val="22"/>
        </w:rPr>
      </w:pPr>
      <w:r w:rsidRPr="00F36244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14B86E68" wp14:editId="2026D55F">
            <wp:simplePos x="0" y="0"/>
            <wp:positionH relativeFrom="column">
              <wp:posOffset>3372697</wp:posOffset>
            </wp:positionH>
            <wp:positionV relativeFrom="paragraph">
              <wp:posOffset>7332980</wp:posOffset>
            </wp:positionV>
            <wp:extent cx="2658110" cy="616585"/>
            <wp:effectExtent l="0" t="0" r="8890" b="0"/>
            <wp:wrapSquare wrapText="bothSides"/>
            <wp:docPr id="254743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43822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EC4" w:rsidRPr="00D10EC4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A8F2B7B" wp14:editId="77BCC6E2">
            <wp:simplePos x="0" y="0"/>
            <wp:positionH relativeFrom="column">
              <wp:posOffset>3348990</wp:posOffset>
            </wp:positionH>
            <wp:positionV relativeFrom="paragraph">
              <wp:posOffset>4463415</wp:posOffset>
            </wp:positionV>
            <wp:extent cx="3037840" cy="2781300"/>
            <wp:effectExtent l="0" t="0" r="0" b="0"/>
            <wp:wrapSquare wrapText="bothSides"/>
            <wp:docPr id="774227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27474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A9C" w:rsidRPr="00A05A9C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79195704" wp14:editId="2B2382FD">
            <wp:simplePos x="0" y="0"/>
            <wp:positionH relativeFrom="column">
              <wp:posOffset>-635</wp:posOffset>
            </wp:positionH>
            <wp:positionV relativeFrom="paragraph">
              <wp:posOffset>5715</wp:posOffset>
            </wp:positionV>
            <wp:extent cx="5612130" cy="4199255"/>
            <wp:effectExtent l="0" t="0" r="7620" b="0"/>
            <wp:wrapSquare wrapText="bothSides"/>
            <wp:docPr id="758110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1008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F1D1F" w14:textId="76799F32" w:rsidR="00927A8B" w:rsidRPr="00927A8B" w:rsidRDefault="00927A8B" w:rsidP="00F36244">
      <w:pPr>
        <w:rPr>
          <w:rFonts w:ascii="Times New Roman" w:hAnsi="Times New Roman" w:cs="Times New Roman"/>
          <w:sz w:val="22"/>
          <w:szCs w:val="22"/>
        </w:rPr>
      </w:pPr>
      <w:r w:rsidRPr="00927A8B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4F1CE89E" wp14:editId="48395E3B">
            <wp:simplePos x="0" y="0"/>
            <wp:positionH relativeFrom="margin">
              <wp:align>left</wp:align>
            </wp:positionH>
            <wp:positionV relativeFrom="paragraph">
              <wp:posOffset>21590</wp:posOffset>
            </wp:positionV>
            <wp:extent cx="3168650" cy="3035300"/>
            <wp:effectExtent l="0" t="0" r="0" b="0"/>
            <wp:wrapSquare wrapText="bothSides"/>
            <wp:docPr id="1970375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75142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707" cy="3036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27A8B" w:rsidRPr="00927A8B" w:rsidSect="00BB69F3">
      <w:headerReference w:type="default" r:id="rId40"/>
      <w:footerReference w:type="default" r:id="rId4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A391E" w14:textId="77777777" w:rsidR="006C0093" w:rsidRDefault="006C0093" w:rsidP="00EC7BB0">
      <w:pPr>
        <w:spacing w:after="0" w:line="240" w:lineRule="auto"/>
      </w:pPr>
      <w:r>
        <w:separator/>
      </w:r>
    </w:p>
  </w:endnote>
  <w:endnote w:type="continuationSeparator" w:id="0">
    <w:p w14:paraId="6C9E5BB9" w14:textId="77777777" w:rsidR="006C0093" w:rsidRDefault="006C0093" w:rsidP="00EC7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59217" w14:textId="67E60BB8" w:rsidR="00E01148" w:rsidRDefault="00E01148">
    <w:pPr>
      <w:pStyle w:val="Piedepgina"/>
      <w:jc w:val="center"/>
    </w:pPr>
  </w:p>
  <w:p w14:paraId="7893B563" w14:textId="77777777" w:rsidR="00E01148" w:rsidRDefault="00E011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82268" w14:textId="72D212EC" w:rsidR="00E01148" w:rsidRDefault="00E01148">
    <w:pPr>
      <w:pStyle w:val="Piedepgina"/>
      <w:jc w:val="center"/>
    </w:pPr>
  </w:p>
  <w:p w14:paraId="53FCC8B8" w14:textId="77777777" w:rsidR="00E01148" w:rsidRDefault="00E0114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7203A" w14:textId="42DB258E" w:rsidR="00586A78" w:rsidRDefault="00E113A1" w:rsidP="00E113A1">
    <w:pPr>
      <w:pStyle w:val="Piedepgina"/>
      <w:tabs>
        <w:tab w:val="left" w:pos="5480"/>
      </w:tabs>
    </w:pPr>
    <w:r>
      <w:tab/>
    </w:r>
    <w:sdt>
      <w:sdtPr>
        <w:id w:val="394247532"/>
        <w:docPartObj>
          <w:docPartGallery w:val="Page Numbers (Bottom of Page)"/>
          <w:docPartUnique/>
        </w:docPartObj>
      </w:sdtPr>
      <w:sdtEndPr/>
      <w:sdtContent>
        <w:r w:rsidR="00586A78">
          <w:fldChar w:fldCharType="begin"/>
        </w:r>
        <w:r w:rsidR="00586A78">
          <w:instrText>PAGE   \* MERGEFORMAT</w:instrText>
        </w:r>
        <w:r w:rsidR="00586A78">
          <w:fldChar w:fldCharType="separate"/>
        </w:r>
        <w:r w:rsidR="00586A78">
          <w:rPr>
            <w:lang w:val="es-MX"/>
          </w:rPr>
          <w:t>2</w:t>
        </w:r>
        <w:r w:rsidR="00586A78">
          <w:fldChar w:fldCharType="end"/>
        </w:r>
      </w:sdtContent>
    </w:sdt>
    <w:r>
      <w:tab/>
    </w:r>
  </w:p>
  <w:p w14:paraId="29AC084B" w14:textId="77777777" w:rsidR="00586A78" w:rsidRDefault="00586A78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32F36" w14:textId="4E8170C6" w:rsidR="00E113A1" w:rsidRDefault="00E113A1" w:rsidP="00E113A1">
    <w:pPr>
      <w:pStyle w:val="Piedepgina"/>
      <w:tabs>
        <w:tab w:val="left" w:pos="5480"/>
      </w:tabs>
    </w:pPr>
    <w:r>
      <w:tab/>
    </w:r>
    <w:r>
      <w:tab/>
    </w:r>
  </w:p>
  <w:p w14:paraId="7326F073" w14:textId="77777777" w:rsidR="00E113A1" w:rsidRDefault="00E113A1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6F5CD" w14:textId="77777777" w:rsidR="00E113A1" w:rsidRDefault="00E113A1" w:rsidP="00E113A1">
    <w:pPr>
      <w:pStyle w:val="Piedepgina"/>
      <w:tabs>
        <w:tab w:val="left" w:pos="5480"/>
      </w:tabs>
    </w:pPr>
    <w:r>
      <w:tab/>
    </w:r>
    <w:sdt>
      <w:sdtPr>
        <w:id w:val="92692322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sdtContent>
    </w:sdt>
    <w:r>
      <w:tab/>
    </w:r>
  </w:p>
  <w:p w14:paraId="4D108E71" w14:textId="77777777" w:rsidR="00E113A1" w:rsidRDefault="00E113A1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66802" w14:textId="42A9D59E" w:rsidR="00E113A1" w:rsidRDefault="00E113A1" w:rsidP="00E113A1">
    <w:pPr>
      <w:pStyle w:val="Piedepgina"/>
      <w:tabs>
        <w:tab w:val="left" w:pos="5480"/>
      </w:tabs>
    </w:pPr>
    <w:r>
      <w:tab/>
    </w:r>
    <w:r>
      <w:tab/>
    </w:r>
  </w:p>
  <w:p w14:paraId="4B40DB29" w14:textId="77777777" w:rsidR="00E113A1" w:rsidRDefault="00E113A1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B5837" w14:textId="77777777" w:rsidR="00E113A1" w:rsidRDefault="00E113A1" w:rsidP="00E113A1">
    <w:pPr>
      <w:pStyle w:val="Piedepgina"/>
      <w:tabs>
        <w:tab w:val="left" w:pos="5480"/>
      </w:tabs>
    </w:pPr>
    <w:r>
      <w:tab/>
    </w:r>
    <w:sdt>
      <w:sdtPr>
        <w:id w:val="1381903628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sdtContent>
    </w:sdt>
    <w:r>
      <w:tab/>
    </w:r>
  </w:p>
  <w:p w14:paraId="77441DD4" w14:textId="77777777" w:rsidR="00E113A1" w:rsidRDefault="00E113A1">
    <w:pPr>
      <w:pStyle w:val="Piedepgina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FC23E" w14:textId="1BADBDFA" w:rsidR="00E113A1" w:rsidRDefault="00E113A1" w:rsidP="00E113A1">
    <w:pPr>
      <w:pStyle w:val="Piedepgina"/>
      <w:tabs>
        <w:tab w:val="left" w:pos="5480"/>
      </w:tabs>
    </w:pPr>
    <w:r>
      <w:tab/>
    </w:r>
    <w:r>
      <w:tab/>
    </w:r>
  </w:p>
  <w:p w14:paraId="062BADE0" w14:textId="77777777" w:rsidR="00E113A1" w:rsidRDefault="00E113A1">
    <w:pPr>
      <w:pStyle w:val="Piedepgina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96F4D" w14:textId="77777777" w:rsidR="00E113A1" w:rsidRDefault="00E113A1" w:rsidP="00E113A1">
    <w:pPr>
      <w:pStyle w:val="Piedepgina"/>
      <w:tabs>
        <w:tab w:val="left" w:pos="5480"/>
      </w:tabs>
    </w:pPr>
    <w:r>
      <w:tab/>
    </w:r>
    <w:sdt>
      <w:sdtPr>
        <w:id w:val="-198522934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sdtContent>
    </w:sdt>
    <w:r>
      <w:tab/>
    </w:r>
  </w:p>
  <w:p w14:paraId="168FB11F" w14:textId="77777777" w:rsidR="00E113A1" w:rsidRDefault="00E113A1">
    <w:pPr>
      <w:pStyle w:val="Piedepgina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07798" w14:textId="25BFA2BB" w:rsidR="009965A0" w:rsidRDefault="009965A0">
    <w:pPr>
      <w:pStyle w:val="Piedepgina"/>
      <w:jc w:val="center"/>
    </w:pPr>
  </w:p>
  <w:p w14:paraId="12A8E653" w14:textId="77777777" w:rsidR="009965A0" w:rsidRDefault="009965A0">
    <w:pPr>
      <w:pStyle w:val="Piedepgina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6578116"/>
      <w:docPartObj>
        <w:docPartGallery w:val="Page Numbers (Bottom of Page)"/>
        <w:docPartUnique/>
      </w:docPartObj>
    </w:sdtPr>
    <w:sdtEndPr/>
    <w:sdtContent>
      <w:p w14:paraId="366307CC" w14:textId="77777777" w:rsidR="009965A0" w:rsidRDefault="009965A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102EDE13" w14:textId="77777777" w:rsidR="009965A0" w:rsidRDefault="009965A0">
    <w:pPr>
      <w:pStyle w:val="Piedepgina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C3097" w14:textId="2E9613E7" w:rsidR="00E113A1" w:rsidRDefault="00E113A1">
    <w:pPr>
      <w:pStyle w:val="Piedepgina"/>
      <w:jc w:val="center"/>
    </w:pPr>
  </w:p>
  <w:p w14:paraId="3BE0FB2E" w14:textId="77777777" w:rsidR="00E113A1" w:rsidRDefault="00E113A1">
    <w:pPr>
      <w:pStyle w:val="Piedepgina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4678875"/>
      <w:docPartObj>
        <w:docPartGallery w:val="Page Numbers (Bottom of Page)"/>
        <w:docPartUnique/>
      </w:docPartObj>
    </w:sdtPr>
    <w:sdtEndPr/>
    <w:sdtContent>
      <w:p w14:paraId="14E7B24C" w14:textId="77777777" w:rsidR="00E113A1" w:rsidRDefault="00E113A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17AFCEBA" w14:textId="77777777" w:rsidR="00E113A1" w:rsidRDefault="00E113A1">
    <w:pPr>
      <w:pStyle w:val="Piedepgina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A9D03" w14:textId="6BED00BB" w:rsidR="00A05A9C" w:rsidRDefault="00A05A9C" w:rsidP="00A05A9C">
    <w:pPr>
      <w:pStyle w:val="Piedepgina"/>
    </w:pPr>
  </w:p>
  <w:p w14:paraId="2536296C" w14:textId="77777777" w:rsidR="00A05A9C" w:rsidRDefault="00A05A9C">
    <w:pPr>
      <w:pStyle w:val="Piedepgina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7858029"/>
      <w:docPartObj>
        <w:docPartGallery w:val="Page Numbers (Bottom of Page)"/>
        <w:docPartUnique/>
      </w:docPartObj>
    </w:sdtPr>
    <w:sdtEndPr/>
    <w:sdtContent>
      <w:p w14:paraId="469F0EBD" w14:textId="77777777" w:rsidR="00A05A9C" w:rsidRDefault="00A05A9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5F055109" w14:textId="77777777" w:rsidR="00A05A9C" w:rsidRDefault="00A05A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467B9" w14:textId="77777777" w:rsidR="006C0093" w:rsidRDefault="006C0093" w:rsidP="00EC7BB0">
      <w:pPr>
        <w:spacing w:after="0" w:line="240" w:lineRule="auto"/>
      </w:pPr>
      <w:r>
        <w:separator/>
      </w:r>
    </w:p>
  </w:footnote>
  <w:footnote w:type="continuationSeparator" w:id="0">
    <w:p w14:paraId="0DF75C5C" w14:textId="77777777" w:rsidR="006C0093" w:rsidRDefault="006C0093" w:rsidP="00EC7B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FE5E" w14:textId="693E1F50" w:rsidR="009D422E" w:rsidRDefault="009D422E" w:rsidP="0001500A">
    <w:pPr>
      <w:pStyle w:val="Encabezado"/>
      <w:tabs>
        <w:tab w:val="left" w:pos="5472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DA33E" w14:textId="77777777" w:rsidR="0001500A" w:rsidRDefault="0001500A" w:rsidP="0001500A">
    <w:pPr>
      <w:pStyle w:val="Encabezado"/>
      <w:pBdr>
        <w:bottom w:val="single" w:sz="4" w:space="1" w:color="auto"/>
      </w:pBdr>
      <w:tabs>
        <w:tab w:val="left" w:pos="5472"/>
      </w:tabs>
    </w:pPr>
    <w:r w:rsidRPr="009D422E">
      <w:t>R.U.T.A. - IRTRA Petapa</w:t>
    </w:r>
    <w:r>
      <w:t xml:space="preserve">   </w:t>
    </w:r>
    <w:r>
      <w:tab/>
    </w:r>
    <w:r>
      <w:tab/>
    </w:r>
    <w:r>
      <w:tab/>
    </w:r>
    <w:r w:rsidRPr="009D422E">
      <w:t>Fundamentos de Sostenibilidad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1CF3" w14:textId="1D036DC3" w:rsidR="009D422E" w:rsidRDefault="009D422E" w:rsidP="0001500A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9D49F" w14:textId="77777777" w:rsidR="0001500A" w:rsidRDefault="0001500A" w:rsidP="009D422E">
    <w:pPr>
      <w:pStyle w:val="Encabezado"/>
      <w:pBdr>
        <w:bottom w:val="single" w:sz="4" w:space="1" w:color="auto"/>
      </w:pBdr>
    </w:pPr>
    <w:r w:rsidRPr="009D422E">
      <w:t>R.U.T.A. - IRTRA Petapa</w:t>
    </w:r>
    <w:r>
      <w:t xml:space="preserve">   </w:t>
    </w:r>
    <w:r>
      <w:tab/>
    </w:r>
    <w:r>
      <w:tab/>
      <w:t>A</w:t>
    </w:r>
    <w:r w:rsidRPr="009D422E">
      <w:t xml:space="preserve">lumbrado Público e Infraestructuras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3DCAC" w14:textId="699FED26" w:rsidR="009D422E" w:rsidRDefault="009D422E" w:rsidP="0001500A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22C5" w14:textId="77777777" w:rsidR="00A010F5" w:rsidRDefault="00A010F5" w:rsidP="009D422E">
    <w:pPr>
      <w:pStyle w:val="Encabezado"/>
      <w:pBdr>
        <w:bottom w:val="single" w:sz="4" w:space="1" w:color="auto"/>
      </w:pBdr>
    </w:pPr>
    <w:r w:rsidRPr="009D422E">
      <w:t>R.U.T.A. - IRTRA Petapa</w:t>
    </w:r>
    <w:r>
      <w:t xml:space="preserve">   </w:t>
    </w:r>
    <w:r>
      <w:tab/>
    </w:r>
    <w:r>
      <w:tab/>
    </w:r>
    <w:r w:rsidRPr="009D422E">
      <w:t xml:space="preserve">Sistemas de Iluminación Inteligentes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F7F6" w14:textId="5E7B6C4E" w:rsidR="009D422E" w:rsidRDefault="009D422E" w:rsidP="0001500A">
    <w:pPr>
      <w:pStyle w:val="Encabezad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0796" w14:textId="77777777" w:rsidR="0001500A" w:rsidRDefault="0001500A" w:rsidP="009D422E">
    <w:pPr>
      <w:pStyle w:val="Encabezado"/>
      <w:pBdr>
        <w:bottom w:val="single" w:sz="4" w:space="1" w:color="auto"/>
      </w:pBdr>
    </w:pPr>
    <w:r w:rsidRPr="009D422E">
      <w:t>R.U.T.A. - IRTRA Petapa</w:t>
    </w:r>
    <w:r>
      <w:t xml:space="preserve">   </w:t>
    </w:r>
    <w:r>
      <w:tab/>
    </w:r>
    <w:r>
      <w:tab/>
    </w:r>
    <w:r w:rsidRPr="009D422E">
      <w:t xml:space="preserve">Sistemas de Seguridad Pasiva en Redes IP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8EF5F" w14:textId="40B9C6DC" w:rsidR="009D422E" w:rsidRDefault="009D422E" w:rsidP="0001500A">
    <w:pPr>
      <w:pStyle w:val="Encabezado"/>
    </w:pPr>
    <w:r w:rsidRPr="009D422E"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F205D" w14:textId="77777777" w:rsidR="0001500A" w:rsidRDefault="0001500A" w:rsidP="009D422E">
    <w:pPr>
      <w:pStyle w:val="Encabezado"/>
      <w:pBdr>
        <w:bottom w:val="single" w:sz="4" w:space="1" w:color="auto"/>
      </w:pBdr>
    </w:pPr>
    <w:r w:rsidRPr="009D422E">
      <w:t>R.U.T.A. - IRTRA Petapa</w:t>
    </w:r>
    <w:r>
      <w:t xml:space="preserve">   </w:t>
    </w:r>
    <w:r>
      <w:tab/>
    </w:r>
    <w:r>
      <w:tab/>
    </w:r>
    <w:r>
      <w:tab/>
    </w:r>
    <w:r w:rsidRPr="009D422E">
      <w:t xml:space="preserve">Plan de Implementación y Matriz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2DFAE" w14:textId="62A286C5" w:rsidR="009D422E" w:rsidRDefault="009D422E" w:rsidP="0001500A">
    <w:pPr>
      <w:pStyle w:val="Encabezado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E552A" w14:textId="77777777" w:rsidR="0001500A" w:rsidRDefault="0001500A" w:rsidP="009D422E">
    <w:pPr>
      <w:pStyle w:val="Encabezado"/>
      <w:pBdr>
        <w:bottom w:val="single" w:sz="4" w:space="1" w:color="auto"/>
      </w:pBdr>
    </w:pPr>
    <w:r w:rsidRPr="009D422E">
      <w:t>R.U.T.A. - IRTRA Petapa</w:t>
    </w:r>
    <w:r>
      <w:t xml:space="preserve">   </w:t>
    </w:r>
    <w:r>
      <w:tab/>
    </w:r>
    <w:r>
      <w:tab/>
    </w:r>
    <w:r w:rsidRPr="009D422E">
      <w:t>Infografía Digital, Podcast y Referencias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41168" w14:textId="556C734C" w:rsidR="00A05A9C" w:rsidRDefault="00A05A9C" w:rsidP="00A05A9C">
    <w:pPr>
      <w:pStyle w:val="Encabezado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E3092" w14:textId="77777777" w:rsidR="00A05A9C" w:rsidRDefault="00A05A9C" w:rsidP="009D422E">
    <w:pPr>
      <w:pStyle w:val="Encabezado"/>
      <w:pBdr>
        <w:bottom w:val="single" w:sz="4" w:space="1" w:color="auto"/>
      </w:pBdr>
    </w:pPr>
    <w:r w:rsidRPr="009D422E">
      <w:t>R.U.T.A. - IRTRA Petapa</w:t>
    </w:r>
    <w:r>
      <w:t xml:space="preserve">   </w:t>
    </w:r>
    <w:r>
      <w:tab/>
    </w:r>
    <w:r>
      <w:tab/>
    </w:r>
    <w:r w:rsidRPr="009D422E">
      <w:t>Infografía Digital, Podcast y Referencias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5CE"/>
    <w:multiLevelType w:val="multilevel"/>
    <w:tmpl w:val="770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0074"/>
    <w:multiLevelType w:val="multilevel"/>
    <w:tmpl w:val="0D74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4157"/>
    <w:multiLevelType w:val="multilevel"/>
    <w:tmpl w:val="B972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B0892"/>
    <w:multiLevelType w:val="multilevel"/>
    <w:tmpl w:val="E47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D2787"/>
    <w:multiLevelType w:val="multilevel"/>
    <w:tmpl w:val="39D6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D715C"/>
    <w:multiLevelType w:val="multilevel"/>
    <w:tmpl w:val="53D0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E6782"/>
    <w:multiLevelType w:val="multilevel"/>
    <w:tmpl w:val="4640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56DE7"/>
    <w:multiLevelType w:val="multilevel"/>
    <w:tmpl w:val="3032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121D7"/>
    <w:multiLevelType w:val="multilevel"/>
    <w:tmpl w:val="B5EA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24AEC"/>
    <w:multiLevelType w:val="multilevel"/>
    <w:tmpl w:val="E9A6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D1A8B"/>
    <w:multiLevelType w:val="multilevel"/>
    <w:tmpl w:val="1088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F3B55"/>
    <w:multiLevelType w:val="multilevel"/>
    <w:tmpl w:val="F87C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E5D79"/>
    <w:multiLevelType w:val="multilevel"/>
    <w:tmpl w:val="4EF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E6FA1"/>
    <w:multiLevelType w:val="multilevel"/>
    <w:tmpl w:val="73F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F5471"/>
    <w:multiLevelType w:val="multilevel"/>
    <w:tmpl w:val="653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B3456"/>
    <w:multiLevelType w:val="multilevel"/>
    <w:tmpl w:val="224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34D06"/>
    <w:multiLevelType w:val="multilevel"/>
    <w:tmpl w:val="2A34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84F04"/>
    <w:multiLevelType w:val="multilevel"/>
    <w:tmpl w:val="44D2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F361E"/>
    <w:multiLevelType w:val="multilevel"/>
    <w:tmpl w:val="BABC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209530">
    <w:abstractNumId w:val="5"/>
  </w:num>
  <w:num w:numId="2" w16cid:durableId="596137722">
    <w:abstractNumId w:val="18"/>
  </w:num>
  <w:num w:numId="3" w16cid:durableId="552892236">
    <w:abstractNumId w:val="16"/>
  </w:num>
  <w:num w:numId="4" w16cid:durableId="468865547">
    <w:abstractNumId w:val="0"/>
  </w:num>
  <w:num w:numId="5" w16cid:durableId="127403779">
    <w:abstractNumId w:val="1"/>
  </w:num>
  <w:num w:numId="6" w16cid:durableId="1604728821">
    <w:abstractNumId w:val="6"/>
  </w:num>
  <w:num w:numId="7" w16cid:durableId="690572298">
    <w:abstractNumId w:val="17"/>
  </w:num>
  <w:num w:numId="8" w16cid:durableId="1374185013">
    <w:abstractNumId w:val="13"/>
  </w:num>
  <w:num w:numId="9" w16cid:durableId="297607848">
    <w:abstractNumId w:val="3"/>
  </w:num>
  <w:num w:numId="10" w16cid:durableId="357313004">
    <w:abstractNumId w:val="2"/>
  </w:num>
  <w:num w:numId="11" w16cid:durableId="1114010216">
    <w:abstractNumId w:val="8"/>
  </w:num>
  <w:num w:numId="12" w16cid:durableId="424499797">
    <w:abstractNumId w:val="12"/>
  </w:num>
  <w:num w:numId="13" w16cid:durableId="898855971">
    <w:abstractNumId w:val="9"/>
  </w:num>
  <w:num w:numId="14" w16cid:durableId="529102317">
    <w:abstractNumId w:val="7"/>
  </w:num>
  <w:num w:numId="15" w16cid:durableId="1511682000">
    <w:abstractNumId w:val="14"/>
  </w:num>
  <w:num w:numId="16" w16cid:durableId="909580544">
    <w:abstractNumId w:val="11"/>
  </w:num>
  <w:num w:numId="17" w16cid:durableId="1163817413">
    <w:abstractNumId w:val="4"/>
  </w:num>
  <w:num w:numId="18" w16cid:durableId="264387460">
    <w:abstractNumId w:val="15"/>
  </w:num>
  <w:num w:numId="19" w16cid:durableId="15770105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AD"/>
    <w:rsid w:val="0001500A"/>
    <w:rsid w:val="00045B9E"/>
    <w:rsid w:val="000F19A8"/>
    <w:rsid w:val="000F2CF2"/>
    <w:rsid w:val="00177217"/>
    <w:rsid w:val="00195302"/>
    <w:rsid w:val="002063DC"/>
    <w:rsid w:val="0026480F"/>
    <w:rsid w:val="00394067"/>
    <w:rsid w:val="003943EB"/>
    <w:rsid w:val="004E4744"/>
    <w:rsid w:val="0054175E"/>
    <w:rsid w:val="00586A78"/>
    <w:rsid w:val="005A2637"/>
    <w:rsid w:val="005C23DF"/>
    <w:rsid w:val="00661BAD"/>
    <w:rsid w:val="006C0093"/>
    <w:rsid w:val="00710345"/>
    <w:rsid w:val="007B25B1"/>
    <w:rsid w:val="008523C3"/>
    <w:rsid w:val="008A0FED"/>
    <w:rsid w:val="008B64FF"/>
    <w:rsid w:val="00927A8B"/>
    <w:rsid w:val="00976CE7"/>
    <w:rsid w:val="009965A0"/>
    <w:rsid w:val="009D422E"/>
    <w:rsid w:val="00A010F5"/>
    <w:rsid w:val="00A05A9C"/>
    <w:rsid w:val="00BB69F3"/>
    <w:rsid w:val="00BC173A"/>
    <w:rsid w:val="00CB6F56"/>
    <w:rsid w:val="00CE26F9"/>
    <w:rsid w:val="00D10EC4"/>
    <w:rsid w:val="00D12CE4"/>
    <w:rsid w:val="00D545B5"/>
    <w:rsid w:val="00E01148"/>
    <w:rsid w:val="00E113A1"/>
    <w:rsid w:val="00E32639"/>
    <w:rsid w:val="00EC7BB0"/>
    <w:rsid w:val="00F36244"/>
    <w:rsid w:val="00FF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CDED4D"/>
  <w15:chartTrackingRefBased/>
  <w15:docId w15:val="{E2690FE7-8A59-495D-9E5E-B9D8F848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0FE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0FE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B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B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B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B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B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B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B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B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B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B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BA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61BAD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table" w:styleId="Tablaconcuadrcula">
    <w:name w:val="Table Grid"/>
    <w:basedOn w:val="Tablanormal"/>
    <w:uiPriority w:val="39"/>
    <w:rsid w:val="004E4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C7B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7BB0"/>
  </w:style>
  <w:style w:type="paragraph" w:styleId="Piedepgina">
    <w:name w:val="footer"/>
    <w:basedOn w:val="Normal"/>
    <w:link w:val="PiedepginaCar"/>
    <w:uiPriority w:val="99"/>
    <w:unhideWhenUsed/>
    <w:rsid w:val="00EC7B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BB0"/>
  </w:style>
  <w:style w:type="paragraph" w:styleId="TDC1">
    <w:name w:val="toc 1"/>
    <w:basedOn w:val="Normal"/>
    <w:next w:val="Normal"/>
    <w:autoRedefine/>
    <w:uiPriority w:val="39"/>
    <w:unhideWhenUsed/>
    <w:rsid w:val="00CB6F5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B6F56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10345"/>
    <w:pPr>
      <w:spacing w:after="100"/>
      <w:ind w:left="240"/>
    </w:pPr>
  </w:style>
  <w:style w:type="paragraph" w:styleId="Bibliografa">
    <w:name w:val="Bibliography"/>
    <w:basedOn w:val="Normal"/>
    <w:next w:val="Normal"/>
    <w:uiPriority w:val="37"/>
    <w:unhideWhenUsed/>
    <w:rsid w:val="009D4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header" Target="header9.xml"/><Relationship Id="rId39" Type="http://schemas.openxmlformats.org/officeDocument/2006/relationships/image" Target="media/image5.png"/><Relationship Id="rId21" Type="http://schemas.openxmlformats.org/officeDocument/2006/relationships/footer" Target="footer7.xml"/><Relationship Id="rId34" Type="http://schemas.openxmlformats.org/officeDocument/2006/relationships/header" Target="header13.xm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footer" Target="footer11.xml"/><Relationship Id="rId41" Type="http://schemas.openxmlformats.org/officeDocument/2006/relationships/footer" Target="footer1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8.xml"/><Relationship Id="rId32" Type="http://schemas.openxmlformats.org/officeDocument/2006/relationships/header" Target="header12.xml"/><Relationship Id="rId37" Type="http://schemas.openxmlformats.org/officeDocument/2006/relationships/image" Target="media/image3.png"/><Relationship Id="rId40" Type="http://schemas.openxmlformats.org/officeDocument/2006/relationships/header" Target="header14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0.xml"/><Relationship Id="rId36" Type="http://schemas.openxmlformats.org/officeDocument/2006/relationships/image" Target="media/image2.png"/><Relationship Id="rId10" Type="http://schemas.openxmlformats.org/officeDocument/2006/relationships/header" Target="header1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footer" Target="footer10.xml"/><Relationship Id="rId30" Type="http://schemas.openxmlformats.org/officeDocument/2006/relationships/header" Target="header11.xml"/><Relationship Id="rId35" Type="http://schemas.openxmlformats.org/officeDocument/2006/relationships/footer" Target="footer14.xm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3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Fue16</b:Tag>
    <b:SourceType>Report</b:SourceType>
    <b:Guid>{8E237BD2-ACED-4566-8296-45311202D6A8}</b:Guid>
    <b:Author>
      <b:Author>
        <b:NameList>
          <b:Person>
            <b:Last>Fuerte Arana</b:Last>
            <b:First>V.</b:First>
          </b:Person>
        </b:NameList>
      </b:Author>
    </b:Author>
    <b:Title>Diseño de protección de sistemas de seguridad pasiva en edificios</b:Title>
    <b:Year>2016</b:Year>
    <b:Publisher>Universidad Carlos III de Madrid / Universidad Politécnica de Madrid</b:Publisher>
    <b:City>Madrid</b:City>
    <b:RefOrder>1</b:RefOrder>
  </b:Source>
  <b:Source>
    <b:Tag>Sec19</b:Tag>
    <b:SourceType>Report</b:SourceType>
    <b:Guid>{C87E2C51-FCB5-467C-B58F-427A10B76CD7}</b:Guid>
    <b:Author>
      <b:Author>
        <b:Corporate>Secretaría de Energía &amp; Comisión Nacional para el Uso Eficiente de la Energía</b:Corporate>
      </b:Author>
    </b:Author>
    <b:Title>Alumbrado público, eficiencia energética y la ciudad inteligente: hacia el Proyecto Nacional 2.0</b:Title>
    <b:Year>2019</b:Year>
    <b:Publisher>Gobierno de México</b:Publisher>
    <b:City>Ciudad de México</b:City>
    <b:RefOrder>2</b:RefOrder>
  </b:Source>
  <b:Source>
    <b:Tag>Sha22</b:Tag>
    <b:SourceType>JournalArticle</b:SourceType>
    <b:Guid>{558DAF4D-34C3-4022-8829-71A56AE36E2F}</b:Guid>
    <b:Title>Sustainability Plan for Amusement Parks - A Case Study</b:Title>
    <b:Year>2022</b:Year>
    <b:Author>
      <b:Author>
        <b:NameList>
          <b:Person>
            <b:Last>Sharma</b:Last>
            <b:First>V.</b:First>
          </b:Person>
        </b:NameList>
      </b:Author>
    </b:Author>
    <b:JournalName>Journal of Scientific and Engineering Research</b:JournalName>
    <b:Pages>154-161</b:Pages>
    <b:RefOrder>3</b:RefOrder>
  </b:Source>
  <b:Source>
    <b:Tag>Vil18</b:Tag>
    <b:SourceType>JournalArticle</b:SourceType>
    <b:Guid>{7E045529-36F0-415F-BA18-BC7781E24BFC}</b:Guid>
    <b:Author>
      <b:Author>
        <b:NameList>
          <b:Person>
            <b:Last>Villalba</b:Last>
            <b:First>G.</b:First>
          </b:Person>
          <b:Person>
            <b:Last>Cadena</b:Last>
            <b:First>C</b:First>
          </b:Person>
        </b:NameList>
      </b:Author>
    </b:Author>
    <b:Title>Sistema de iluminación inteligente: propuesta para su implementación en zonas frías</b:Title>
    <b:JournalName>Cuadernos de Ingeniería. Nueva Serie</b:JournalName>
    <b:Year>2018</b:Year>
    <b:Pages>105-118</b:Pages>
    <b:RefOrder>4</b:RefOrder>
  </b:Source>
</b:Sources>
</file>

<file path=customXml/itemProps1.xml><?xml version="1.0" encoding="utf-8"?>
<ds:datastoreItem xmlns:ds="http://schemas.openxmlformats.org/officeDocument/2006/customXml" ds:itemID="{E233F26C-96E5-477D-A2F8-E2834212B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5620</TotalTime>
  <Pages>27</Pages>
  <Words>3486</Words>
  <Characters>19176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Abril</dc:creator>
  <cp:keywords/>
  <dc:description/>
  <cp:lastModifiedBy>César Abril</cp:lastModifiedBy>
  <cp:revision>2</cp:revision>
  <dcterms:created xsi:type="dcterms:W3CDTF">2026-09-14T14:17:00Z</dcterms:created>
  <dcterms:modified xsi:type="dcterms:W3CDTF">2026-09-14T14:17:00Z</dcterms:modified>
</cp:coreProperties>
</file>